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footer20.xml" ContentType="application/vnd.openxmlformats-officedocument.wordprocessingml.footer+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glossary/fontTable.xml" ContentType="application/vnd.openxmlformats-officedocument.wordprocessingml.fontTable+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glossary/document.xml" ContentType="application/vnd.openxmlformats-officedocument.wordprocessingml.document.glossary+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styles.xml" ContentType="application/vnd.openxmlformats-officedocument.wordprocessingml.styl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C052BA">
            <w:pPr>
              <w:pStyle w:val="Ttulo8"/>
              <w:rPr>
                <w:sz w:val="40"/>
              </w:rPr>
            </w:pPr>
            <w:r>
              <w:rPr>
                <w:sz w:val="36"/>
              </w:rPr>
              <w:t>DIC</w:t>
            </w:r>
            <w:r w:rsidR="007522BF">
              <w:rPr>
                <w:sz w:val="36"/>
              </w:rPr>
              <w:t>IEMBRE</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C3520D" w:rsidP="00C3520D">
            <w:pPr>
              <w:tabs>
                <w:tab w:val="left" w:pos="4111"/>
              </w:tabs>
              <w:jc w:val="right"/>
              <w:rPr>
                <w:sz w:val="22"/>
              </w:rPr>
            </w:pPr>
            <w:bookmarkStart w:id="2" w:name="_Hlt24881596"/>
            <w:r>
              <w:rPr>
                <w:sz w:val="22"/>
              </w:rPr>
              <w:t>1</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C3520D" w:rsidP="00C3520D">
            <w:pPr>
              <w:tabs>
                <w:tab w:val="left" w:pos="4111"/>
              </w:tabs>
              <w:jc w:val="right"/>
              <w:rPr>
                <w:sz w:val="22"/>
              </w:rPr>
            </w:pPr>
            <w:r>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6C1354" w:rsidP="006C1354">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6C1354" w:rsidP="006C1354">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D63A80">
      <w:pPr>
        <w:jc w:val="center"/>
        <w:rPr>
          <w:b/>
          <w:color w:val="FF0000"/>
          <w:sz w:val="26"/>
        </w:rPr>
      </w:pPr>
      <w:r>
        <w:rPr>
          <w:b/>
          <w:noProof/>
          <w:color w:val="FF0000"/>
          <w:sz w:val="26"/>
          <w:lang w:val="es-PE" w:eastAsia="es-PE"/>
        </w:rPr>
        <w:pict>
          <v:shapetype id="_x0000_t202" coordsize="21600,21600" o:spt="202" path="m,l,21600r21600,l21600,xe">
            <v:stroke joinstyle="miter"/>
            <v:path gradientshapeok="t" o:connecttype="rect"/>
          </v:shapetype>
          <v:shape id="_x0000_s409601" type="#_x0000_t202" style="position:absolute;left:0;text-align:left;margin-left:411.3pt;margin-top:36.45pt;width:21pt;height:20.25pt;z-index:251781632" stroked="f">
            <v:textbox>
              <w:txbxContent>
                <w:p w:rsidR="00F2504B" w:rsidRPr="0057553C" w:rsidRDefault="00F2504B" w:rsidP="0057553C">
                  <w:pPr>
                    <w:rPr>
                      <w:lang w:val="es-PE"/>
                    </w:rPr>
                  </w:pPr>
                </w:p>
              </w:txbxContent>
            </v:textbox>
          </v:shape>
        </w:pict>
      </w: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sidRPr="008851E0">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7B4C10" w:rsidP="0036002A">
      <w:pPr>
        <w:rPr>
          <w:sz w:val="22"/>
          <w:szCs w:val="22"/>
        </w:rPr>
      </w:pPr>
      <w:r w:rsidRPr="00714287">
        <w:rPr>
          <w:sz w:val="22"/>
          <w:szCs w:val="22"/>
        </w:rPr>
        <w:lastRenderedPageBreak/>
        <w:t xml:space="preserve">En el </w:t>
      </w:r>
      <w:r>
        <w:rPr>
          <w:sz w:val="22"/>
          <w:szCs w:val="22"/>
        </w:rPr>
        <w:t>año 2012</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a expansión del 5,7 por ciento</w:t>
      </w:r>
      <w:r>
        <w:rPr>
          <w:sz w:val="22"/>
          <w:szCs w:val="22"/>
        </w:rPr>
        <w:t xml:space="preserve"> respecto de similar del año anterior. Esto obedeció al crecimiento de  los sectores agropecuario (2,3 por ciento), pesquero (8,5 por ciento),  manufactura (14,5 por ciento), construcción (10,6 por ciento), electricidad y agua (5,1 por ciento), servicios gubernamentales (13,0 por ciento) y servicios financieros (11,8 por ciento). En contraste, se contrajo el sector de hidrocarburos (-0,9 por ciento). </w:t>
      </w:r>
    </w:p>
    <w:p w:rsidR="00852557" w:rsidRDefault="00852557">
      <w:pPr>
        <w:rPr>
          <w:color w:val="FF0000"/>
          <w:sz w:val="22"/>
        </w:rPr>
      </w:pPr>
    </w:p>
    <w:p w:rsidR="00852557" w:rsidRPr="008851E0" w:rsidRDefault="00C053FA">
      <w:pPr>
        <w:pStyle w:val="SBS"/>
        <w:rPr>
          <w:rFonts w:ascii="Times New Roman" w:hAnsi="Times New Roman"/>
          <w:bCs/>
          <w:color w:val="FF0000"/>
        </w:rPr>
      </w:pPr>
      <w:r w:rsidRPr="008851E0">
        <w:rPr>
          <w:rFonts w:ascii="Times New Roman" w:hAnsi="Times New Roman"/>
          <w:bCs/>
          <w:szCs w:val="22"/>
        </w:rPr>
        <w:t xml:space="preserve">Del total de </w:t>
      </w:r>
      <w:r w:rsidRPr="008851E0">
        <w:rPr>
          <w:rFonts w:ascii="Times New Roman" w:hAnsi="Times New Roman"/>
          <w:b/>
          <w:bCs/>
          <w:szCs w:val="22"/>
        </w:rPr>
        <w:t>empresas comerciales encuestadas</w:t>
      </w:r>
      <w:r w:rsidR="002A0FF7" w:rsidRPr="008851E0">
        <w:rPr>
          <w:rFonts w:ascii="Times New Roman" w:hAnsi="Times New Roman"/>
          <w:b/>
          <w:bCs/>
          <w:szCs w:val="22"/>
        </w:rPr>
        <w:t xml:space="preserve"> </w:t>
      </w:r>
      <w:r w:rsidR="002A0FF7" w:rsidRPr="008851E0">
        <w:rPr>
          <w:rFonts w:ascii="Times New Roman" w:hAnsi="Times New Roman"/>
          <w:bCs/>
          <w:szCs w:val="22"/>
        </w:rPr>
        <w:t>en el mes</w:t>
      </w:r>
      <w:r w:rsidRPr="008851E0">
        <w:rPr>
          <w:rFonts w:ascii="Times New Roman" w:hAnsi="Times New Roman"/>
          <w:bCs/>
          <w:szCs w:val="22"/>
        </w:rPr>
        <w:t xml:space="preserve">,  </w:t>
      </w:r>
      <w:r w:rsidR="007B4C10" w:rsidRPr="007B4C10">
        <w:rPr>
          <w:rFonts w:ascii="Times New Roman" w:hAnsi="Times New Roman"/>
          <w:bCs/>
          <w:szCs w:val="22"/>
        </w:rPr>
        <w:t>el 46,0 por ciento incrementó sus ventas respecto a diciembre del año pasado, mientras que un 29,0 por ciento  experimentó una disminución  y un 25,0 por ciento no mostró variación alguna.</w:t>
      </w:r>
      <w:r w:rsidR="007B4C10">
        <w:rPr>
          <w:bCs/>
          <w:szCs w:val="22"/>
        </w:rPr>
        <w:t xml:space="preserve"> </w:t>
      </w:r>
    </w:p>
    <w:p w:rsidR="007E54D7" w:rsidRDefault="007E54D7">
      <w:pPr>
        <w:pStyle w:val="SBS"/>
        <w:rPr>
          <w:rFonts w:ascii="Times New Roman" w:hAnsi="Times New Roman"/>
          <w:bCs/>
          <w:color w:val="FF0000"/>
        </w:rPr>
      </w:pPr>
    </w:p>
    <w:p w:rsidR="001D0223" w:rsidRDefault="008E49D7" w:rsidP="001D0223">
      <w:pPr>
        <w:pStyle w:val="Sangradetextonormal"/>
        <w:ind w:firstLine="0"/>
        <w:rPr>
          <w:sz w:val="22"/>
        </w:rPr>
      </w:pPr>
      <w:r w:rsidRPr="007B4C10">
        <w:rPr>
          <w:sz w:val="22"/>
          <w:szCs w:val="22"/>
          <w:lang w:val="es-ES"/>
        </w:rPr>
        <w:t xml:space="preserve">En </w:t>
      </w:r>
      <w:r w:rsidR="00852557" w:rsidRPr="007B4C10">
        <w:rPr>
          <w:color w:val="000000"/>
          <w:sz w:val="22"/>
          <w:szCs w:val="22"/>
          <w:lang w:val="es-ES"/>
        </w:rPr>
        <w:t xml:space="preserve">el mes, </w:t>
      </w:r>
      <w:r w:rsidR="00B81839" w:rsidRPr="007B4C10">
        <w:rPr>
          <w:color w:val="000000"/>
          <w:sz w:val="22"/>
          <w:szCs w:val="22"/>
          <w:lang w:val="es-ES"/>
        </w:rPr>
        <w:t xml:space="preserve"> </w:t>
      </w:r>
      <w:r w:rsidR="007B4C10">
        <w:rPr>
          <w:color w:val="000000"/>
          <w:lang w:val="es-ES"/>
        </w:rPr>
        <w:t xml:space="preserve">el tipo de cambio venta (promedio) en el mercado informal de la ciudad de Piura disminuyó en 4,5 </w:t>
      </w:r>
      <w:r w:rsidR="007B4C10">
        <w:rPr>
          <w:lang w:val="es-ES"/>
        </w:rPr>
        <w:t xml:space="preserve"> </w:t>
      </w:r>
      <w:r w:rsidR="007B4C10">
        <w:rPr>
          <w:color w:val="000000"/>
          <w:lang w:val="es-ES"/>
        </w:rPr>
        <w:t xml:space="preserve">por ciento respecto a similar período del año anterior. </w:t>
      </w:r>
      <w:r w:rsidR="004A5DA5">
        <w:rPr>
          <w:color w:val="000000"/>
          <w:lang w:val="es-ES"/>
        </w:rPr>
        <w:br w:type="column"/>
      </w:r>
      <w:r w:rsidR="00B71374" w:rsidRPr="00CA63F9">
        <w:lastRenderedPageBreak/>
        <w:t xml:space="preserve">En </w:t>
      </w:r>
      <w:r w:rsidR="007B4C10">
        <w:t>dic</w:t>
      </w:r>
      <w:r w:rsidR="008851E0">
        <w:t>iemb</w:t>
      </w:r>
      <w:r w:rsidR="00D73C7D">
        <w:t>re</w:t>
      </w:r>
      <w:r w:rsidR="00B71374" w:rsidRPr="00CA63F9">
        <w:t xml:space="preserve">, </w:t>
      </w:r>
      <w:r w:rsidR="007B4C10">
        <w:rPr>
          <w:sz w:val="22"/>
        </w:rPr>
        <w:t xml:space="preserve">las </w:t>
      </w:r>
      <w:r w:rsidR="007B4C10">
        <w:rPr>
          <w:b/>
          <w:sz w:val="22"/>
        </w:rPr>
        <w:t>exportaciones</w:t>
      </w:r>
      <w:r w:rsidR="007B4C10">
        <w:rPr>
          <w:sz w:val="22"/>
        </w:rPr>
        <w:t xml:space="preserve"> del departamento de Piura fueron de US$255,4 millones, lo que significó una caída de 15,4 por ciento respecto a las de igual mes del año pasado, por la menor oferta de productos tradicionales (-38,8 por ciento) que más que contrarrestó el incremento de los no tradicionales (12,4 por ciento).</w:t>
      </w:r>
      <w:r w:rsidR="008851E0">
        <w:rPr>
          <w:sz w:val="22"/>
        </w:rPr>
        <w:t xml:space="preserve"> </w:t>
      </w:r>
    </w:p>
    <w:p w:rsidR="00475595" w:rsidRPr="004A5DA5" w:rsidRDefault="00475595" w:rsidP="00475595">
      <w:pPr>
        <w:pStyle w:val="Sangradetextonormal"/>
        <w:ind w:firstLine="0"/>
        <w:rPr>
          <w:sz w:val="22"/>
        </w:rPr>
      </w:pPr>
    </w:p>
    <w:p w:rsidR="00852557" w:rsidRDefault="00852557" w:rsidP="00CA63F9">
      <w:pPr>
        <w:pStyle w:val="Textoindependiente2"/>
        <w:tabs>
          <w:tab w:val="left" w:pos="2552"/>
        </w:tabs>
        <w:rPr>
          <w:sz w:val="22"/>
        </w:rPr>
      </w:pPr>
      <w:r>
        <w:rPr>
          <w:sz w:val="22"/>
        </w:rPr>
        <w:t>En el plano fiscal,</w:t>
      </w:r>
      <w:r w:rsidR="00D73C7D">
        <w:rPr>
          <w:sz w:val="22"/>
        </w:rPr>
        <w:t xml:space="preserve"> </w:t>
      </w:r>
      <w:r w:rsidR="007B4C10">
        <w:rPr>
          <w:sz w:val="22"/>
        </w:rPr>
        <w:t xml:space="preserve">la </w:t>
      </w:r>
      <w:r w:rsidR="007B4C10" w:rsidRPr="007B4C10">
        <w:rPr>
          <w:b/>
          <w:sz w:val="22"/>
        </w:rPr>
        <w:t xml:space="preserve">recaudación fiscal por parte de la SUNAT </w:t>
      </w:r>
      <w:r w:rsidR="007B4C10" w:rsidRPr="00541879">
        <w:rPr>
          <w:sz w:val="22"/>
        </w:rPr>
        <w:t>borde</w:t>
      </w:r>
      <w:r w:rsidR="007B4C10">
        <w:rPr>
          <w:sz w:val="22"/>
        </w:rPr>
        <w:t>ó</w:t>
      </w:r>
      <w:r w:rsidR="007B4C10" w:rsidRPr="00541879">
        <w:rPr>
          <w:sz w:val="22"/>
        </w:rPr>
        <w:t xml:space="preserve"> los S/.1</w:t>
      </w:r>
      <w:r w:rsidR="007B4C10">
        <w:rPr>
          <w:sz w:val="22"/>
        </w:rPr>
        <w:t>32,3</w:t>
      </w:r>
      <w:r w:rsidR="007B4C10" w:rsidRPr="00541879">
        <w:rPr>
          <w:sz w:val="22"/>
        </w:rPr>
        <w:t xml:space="preserve"> millones</w:t>
      </w:r>
      <w:r w:rsidR="007B4C10">
        <w:rPr>
          <w:sz w:val="22"/>
        </w:rPr>
        <w:t xml:space="preserve">, registrando </w:t>
      </w:r>
      <w:r w:rsidR="007B4C10" w:rsidRPr="00541879">
        <w:rPr>
          <w:sz w:val="22"/>
        </w:rPr>
        <w:t>un</w:t>
      </w:r>
      <w:r w:rsidR="007B4C10">
        <w:rPr>
          <w:sz w:val="22"/>
        </w:rPr>
        <w:t xml:space="preserve">a disminución real del 11,5 por ciento en relación con similar mes del año anterior. Esto obedeció a la significativa caída en lo captado por concepto de impuesto general a las ventas (-30,2 por ciento).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7B4C10">
        <w:rPr>
          <w:sz w:val="22"/>
        </w:rPr>
        <w:t>18</w:t>
      </w:r>
      <w:r w:rsidR="007E7C91">
        <w:rPr>
          <w:sz w:val="22"/>
        </w:rPr>
        <w:t>,</w:t>
      </w:r>
      <w:r w:rsidR="007B4C10">
        <w:rPr>
          <w:sz w:val="22"/>
        </w:rPr>
        <w:t>8</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8851E0">
        <w:rPr>
          <w:sz w:val="22"/>
          <w:szCs w:val="22"/>
        </w:rPr>
        <w:t>14</w:t>
      </w:r>
      <w:r w:rsidR="0069742A">
        <w:rPr>
          <w:sz w:val="22"/>
          <w:szCs w:val="22"/>
        </w:rPr>
        <w:t>,</w:t>
      </w:r>
      <w:r w:rsidR="007B4C10">
        <w:rPr>
          <w:sz w:val="22"/>
          <w:szCs w:val="22"/>
        </w:rPr>
        <w:t>5</w:t>
      </w:r>
      <w:r w:rsidR="00B71374">
        <w:rPr>
          <w:sz w:val="22"/>
          <w:szCs w:val="22"/>
        </w:rPr>
        <w:t xml:space="preserve"> y 1</w:t>
      </w:r>
      <w:r w:rsidR="007B4C10">
        <w:rPr>
          <w:sz w:val="22"/>
          <w:szCs w:val="22"/>
        </w:rPr>
        <w:t>0</w:t>
      </w:r>
      <w:r w:rsidR="00B71374">
        <w:rPr>
          <w:sz w:val="22"/>
          <w:szCs w:val="22"/>
        </w:rPr>
        <w:t>,</w:t>
      </w:r>
      <w:r w:rsidR="007B4C10">
        <w:rPr>
          <w:sz w:val="22"/>
          <w:szCs w:val="22"/>
        </w:rPr>
        <w:t>5</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7B4C10">
        <w:rPr>
          <w:sz w:val="22"/>
          <w:szCs w:val="22"/>
        </w:rPr>
        <w:t>dic</w:t>
      </w:r>
      <w:r w:rsidR="008851E0">
        <w:rPr>
          <w:sz w:val="22"/>
          <w:szCs w:val="22"/>
        </w:rPr>
        <w:t>iem</w:t>
      </w:r>
      <w:r w:rsidR="00D73C7D">
        <w:rPr>
          <w:sz w:val="22"/>
          <w:szCs w:val="22"/>
        </w:rPr>
        <w:t>bre</w:t>
      </w:r>
      <w:r w:rsidR="00475595">
        <w:rPr>
          <w:sz w:val="22"/>
          <w:szCs w:val="22"/>
        </w:rPr>
        <w:t xml:space="preserve">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sidRPr="00473C5F">
        <w:rPr>
          <w:sz w:val="22"/>
          <w:szCs w:val="22"/>
        </w:rPr>
        <w:t xml:space="preserve">del </w:t>
      </w:r>
      <w:r w:rsidR="0036002A" w:rsidRPr="00473C5F">
        <w:rPr>
          <w:sz w:val="22"/>
          <w:szCs w:val="22"/>
        </w:rPr>
        <w:t>4</w:t>
      </w:r>
      <w:r w:rsidR="00B71374" w:rsidRPr="00473C5F">
        <w:rPr>
          <w:sz w:val="22"/>
          <w:szCs w:val="22"/>
        </w:rPr>
        <w:t>,</w:t>
      </w:r>
      <w:r w:rsidR="007B4C10">
        <w:rPr>
          <w:sz w:val="22"/>
          <w:szCs w:val="22"/>
        </w:rPr>
        <w:t>6</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pPr>
    </w:p>
    <w:p w:rsidR="00AE15A1" w:rsidRDefault="00AE15A1">
      <w:pPr>
        <w:rPr>
          <w:color w:val="FF0000"/>
          <w:sz w:val="22"/>
          <w:szCs w:val="22"/>
        </w:rPr>
      </w:pPr>
    </w:p>
    <w:p w:rsidR="00AE15A1" w:rsidRDefault="00AE15A1">
      <w:pPr>
        <w:rPr>
          <w:color w:val="FF0000"/>
          <w:sz w:val="22"/>
          <w:szCs w:val="22"/>
        </w:rPr>
        <w:sectPr w:rsidR="00AE15A1">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D63A80" w:rsidP="00B81839">
      <w:pPr>
        <w:rPr>
          <w:color w:val="FF0000"/>
          <w:sz w:val="22"/>
        </w:rPr>
        <w:sectPr w:rsidR="00852557">
          <w:type w:val="continuous"/>
          <w:pgSz w:w="11906" w:h="16838"/>
          <w:pgMar w:top="1417" w:right="1701" w:bottom="1417" w:left="1701" w:header="720" w:footer="720" w:gutter="0"/>
          <w:cols w:space="709"/>
        </w:sectPr>
      </w:pPr>
      <w:r>
        <w:rPr>
          <w:noProof/>
          <w:color w:val="FF0000"/>
          <w:sz w:val="22"/>
          <w:lang w:val="es-PE" w:eastAsia="es-PE"/>
        </w:rPr>
        <w:lastRenderedPageBreak/>
        <w:pict>
          <v:shape id="_x0000_s409600" type="#_x0000_t202" style="position:absolute;left:0;text-align:left;margin-left:406.8pt;margin-top:39.55pt;width:21pt;height:20.25pt;z-index:251780608" stroked="f">
            <v:textbox>
              <w:txbxContent>
                <w:p w:rsidR="00F2504B" w:rsidRPr="0057553C" w:rsidRDefault="00F2504B">
                  <w:pPr>
                    <w:rPr>
                      <w:sz w:val="20"/>
                      <w:szCs w:val="20"/>
                      <w:lang w:val="es-PE"/>
                    </w:rPr>
                  </w:pPr>
                  <w:r w:rsidRPr="0057553C">
                    <w:rPr>
                      <w:sz w:val="20"/>
                      <w:szCs w:val="20"/>
                      <w:lang w:val="es-PE"/>
                    </w:rPr>
                    <w:t>1</w:t>
                  </w:r>
                </w:p>
              </w:txbxContent>
            </v:textbox>
          </v:shape>
        </w:pict>
      </w:r>
    </w:p>
    <w:p w:rsidR="00852557" w:rsidRPr="00F143AB" w:rsidRDefault="00852557">
      <w:pPr>
        <w:pStyle w:val="Ttulo6"/>
      </w:pPr>
      <w:r w:rsidRPr="00F143AB">
        <w:lastRenderedPageBreak/>
        <w:t>ACTIVIDAD PRODUCTIVA Y EMPLEO</w:t>
      </w:r>
    </w:p>
    <w:p w:rsidR="00852557" w:rsidRPr="00475005" w:rsidRDefault="00852557">
      <w:pPr>
        <w:ind w:firstLine="708"/>
      </w:pPr>
    </w:p>
    <w:p w:rsidR="00852557" w:rsidRPr="00475005" w:rsidRDefault="00852557">
      <w:pPr>
        <w:ind w:firstLine="708"/>
        <w:sectPr w:rsidR="00852557" w:rsidRPr="00475005">
          <w:type w:val="continuous"/>
          <w:pgSz w:w="11906" w:h="16838"/>
          <w:pgMar w:top="1417" w:right="1701" w:bottom="1417" w:left="1701" w:header="720" w:footer="720" w:gutter="0"/>
          <w:pgNumType w:start="2"/>
          <w:cols w:space="720" w:equalWidth="0">
            <w:col w:w="8504"/>
          </w:cols>
        </w:sectPr>
      </w:pPr>
    </w:p>
    <w:p w:rsidR="00852557" w:rsidRPr="007B4C10" w:rsidRDefault="00852557">
      <w:pPr>
        <w:numPr>
          <w:ilvl w:val="1"/>
          <w:numId w:val="1"/>
        </w:numPr>
        <w:rPr>
          <w:b/>
        </w:rPr>
      </w:pPr>
      <w:r w:rsidRPr="007B4C10">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714287" w:rsidRDefault="0040195F" w:rsidP="0040195F">
      <w:pPr>
        <w:rPr>
          <w:sz w:val="22"/>
          <w:szCs w:val="22"/>
        </w:rPr>
      </w:pPr>
      <w:r w:rsidRPr="00714287">
        <w:rPr>
          <w:sz w:val="22"/>
          <w:szCs w:val="22"/>
        </w:rPr>
        <w:lastRenderedPageBreak/>
        <w:t xml:space="preserve">En el </w:t>
      </w:r>
      <w:r w:rsidR="007B4C10">
        <w:rPr>
          <w:sz w:val="22"/>
          <w:szCs w:val="22"/>
        </w:rPr>
        <w:t>año 2012</w:t>
      </w:r>
      <w:r w:rsidRPr="00714287">
        <w:rPr>
          <w:sz w:val="22"/>
          <w:szCs w:val="22"/>
        </w:rPr>
        <w:t>, el</w:t>
      </w:r>
      <w:r>
        <w:rPr>
          <w:sz w:val="22"/>
          <w:szCs w:val="22"/>
        </w:rPr>
        <w:t xml:space="preserve"> </w:t>
      </w:r>
      <w:r>
        <w:rPr>
          <w:b/>
          <w:bCs/>
          <w:sz w:val="22"/>
          <w:szCs w:val="22"/>
        </w:rPr>
        <w:t xml:space="preserve">Indicador de Actividad Económica Regional </w:t>
      </w:r>
      <w:r w:rsidRPr="0047393E">
        <w:rPr>
          <w:bCs/>
          <w:sz w:val="22"/>
          <w:szCs w:val="22"/>
        </w:rPr>
        <w:t>mostró un</w:t>
      </w:r>
      <w:r>
        <w:rPr>
          <w:bCs/>
          <w:sz w:val="22"/>
          <w:szCs w:val="22"/>
        </w:rPr>
        <w:t xml:space="preserve">a </w:t>
      </w:r>
      <w:r w:rsidR="00714287">
        <w:rPr>
          <w:bCs/>
          <w:sz w:val="22"/>
          <w:szCs w:val="22"/>
        </w:rPr>
        <w:t xml:space="preserve">expansión del </w:t>
      </w:r>
      <w:r w:rsidR="007B4C10">
        <w:rPr>
          <w:bCs/>
          <w:sz w:val="22"/>
          <w:szCs w:val="22"/>
        </w:rPr>
        <w:t>5</w:t>
      </w:r>
      <w:r w:rsidR="002A0FF7">
        <w:rPr>
          <w:bCs/>
          <w:sz w:val="22"/>
          <w:szCs w:val="22"/>
        </w:rPr>
        <w:t>,</w:t>
      </w:r>
      <w:r w:rsidR="007B4C10">
        <w:rPr>
          <w:bCs/>
          <w:sz w:val="22"/>
          <w:szCs w:val="22"/>
        </w:rPr>
        <w:t>7</w:t>
      </w:r>
      <w:r>
        <w:rPr>
          <w:bCs/>
          <w:sz w:val="22"/>
          <w:szCs w:val="22"/>
        </w:rPr>
        <w:t xml:space="preserve"> por ciento</w:t>
      </w:r>
      <w:r>
        <w:rPr>
          <w:sz w:val="22"/>
          <w:szCs w:val="22"/>
        </w:rPr>
        <w:t xml:space="preserve"> respecto del año anterior</w:t>
      </w:r>
      <w:r>
        <w:rPr>
          <w:sz w:val="22"/>
          <w:szCs w:val="22"/>
          <w:vertAlign w:val="superscript"/>
        </w:rPr>
        <w:t>1</w:t>
      </w:r>
      <w:r>
        <w:rPr>
          <w:sz w:val="22"/>
          <w:szCs w:val="22"/>
        </w:rPr>
        <w:t>. Esto obedeció a</w:t>
      </w:r>
      <w:r w:rsidR="00FB6E97">
        <w:rPr>
          <w:sz w:val="22"/>
          <w:szCs w:val="22"/>
        </w:rPr>
        <w:t xml:space="preserve">l </w:t>
      </w:r>
      <w:r w:rsidR="00714287">
        <w:rPr>
          <w:sz w:val="22"/>
          <w:szCs w:val="22"/>
        </w:rPr>
        <w:t>c</w:t>
      </w:r>
      <w:r w:rsidR="00FB6E97">
        <w:rPr>
          <w:sz w:val="22"/>
          <w:szCs w:val="22"/>
        </w:rPr>
        <w:t xml:space="preserve">recimiento de </w:t>
      </w:r>
      <w:r>
        <w:rPr>
          <w:sz w:val="22"/>
          <w:szCs w:val="22"/>
        </w:rPr>
        <w:t xml:space="preserve"> </w:t>
      </w:r>
      <w:r w:rsidR="00FB6E97">
        <w:rPr>
          <w:sz w:val="22"/>
          <w:szCs w:val="22"/>
        </w:rPr>
        <w:t xml:space="preserve">los sectores </w:t>
      </w:r>
      <w:r w:rsidR="007B4C10">
        <w:rPr>
          <w:sz w:val="22"/>
          <w:szCs w:val="22"/>
        </w:rPr>
        <w:t>agropecuario (2,3 por ciento), pesquero</w:t>
      </w:r>
      <w:r w:rsidR="00714024">
        <w:rPr>
          <w:sz w:val="22"/>
          <w:szCs w:val="22"/>
        </w:rPr>
        <w:t xml:space="preserve"> (</w:t>
      </w:r>
      <w:r w:rsidR="007B4C10">
        <w:rPr>
          <w:sz w:val="22"/>
          <w:szCs w:val="22"/>
        </w:rPr>
        <w:t>8</w:t>
      </w:r>
      <w:r w:rsidR="00714024">
        <w:rPr>
          <w:sz w:val="22"/>
          <w:szCs w:val="22"/>
        </w:rPr>
        <w:t>,</w:t>
      </w:r>
      <w:r w:rsidR="00905B51">
        <w:rPr>
          <w:sz w:val="22"/>
          <w:szCs w:val="22"/>
        </w:rPr>
        <w:t>5</w:t>
      </w:r>
      <w:r w:rsidR="00714024">
        <w:rPr>
          <w:sz w:val="22"/>
          <w:szCs w:val="22"/>
        </w:rPr>
        <w:t xml:space="preserve"> por ciento), </w:t>
      </w:r>
      <w:r w:rsidR="00B854E7">
        <w:rPr>
          <w:sz w:val="22"/>
          <w:szCs w:val="22"/>
        </w:rPr>
        <w:t xml:space="preserve"> </w:t>
      </w:r>
      <w:r w:rsidR="0029576C">
        <w:rPr>
          <w:sz w:val="22"/>
          <w:szCs w:val="22"/>
        </w:rPr>
        <w:lastRenderedPageBreak/>
        <w:t>manufactura (</w:t>
      </w:r>
      <w:r w:rsidR="00393534">
        <w:rPr>
          <w:sz w:val="22"/>
          <w:szCs w:val="22"/>
        </w:rPr>
        <w:t>1</w:t>
      </w:r>
      <w:r w:rsidR="007B4C10">
        <w:rPr>
          <w:sz w:val="22"/>
          <w:szCs w:val="22"/>
        </w:rPr>
        <w:t>4</w:t>
      </w:r>
      <w:r w:rsidR="00393534">
        <w:rPr>
          <w:sz w:val="22"/>
          <w:szCs w:val="22"/>
        </w:rPr>
        <w:t>,</w:t>
      </w:r>
      <w:r w:rsidR="007B4C10">
        <w:rPr>
          <w:sz w:val="22"/>
          <w:szCs w:val="22"/>
        </w:rPr>
        <w:t>5</w:t>
      </w:r>
      <w:r w:rsidR="0029576C">
        <w:rPr>
          <w:sz w:val="22"/>
          <w:szCs w:val="22"/>
        </w:rPr>
        <w:t xml:space="preserve"> por ciento), </w:t>
      </w:r>
      <w:r w:rsidR="00714287">
        <w:rPr>
          <w:sz w:val="22"/>
          <w:szCs w:val="22"/>
        </w:rPr>
        <w:t>construcción (1</w:t>
      </w:r>
      <w:r w:rsidR="007B4C10">
        <w:rPr>
          <w:sz w:val="22"/>
          <w:szCs w:val="22"/>
        </w:rPr>
        <w:t>0</w:t>
      </w:r>
      <w:r w:rsidR="00714287">
        <w:rPr>
          <w:sz w:val="22"/>
          <w:szCs w:val="22"/>
        </w:rPr>
        <w:t>,</w:t>
      </w:r>
      <w:r w:rsidR="00905B51">
        <w:rPr>
          <w:sz w:val="22"/>
          <w:szCs w:val="22"/>
        </w:rPr>
        <w:t>6</w:t>
      </w:r>
      <w:r w:rsidR="00714287">
        <w:rPr>
          <w:sz w:val="22"/>
          <w:szCs w:val="22"/>
        </w:rPr>
        <w:t xml:space="preserve"> por ciento), </w:t>
      </w:r>
      <w:r w:rsidR="00475005">
        <w:rPr>
          <w:sz w:val="22"/>
          <w:szCs w:val="22"/>
        </w:rPr>
        <w:t>electricidad y agua (</w:t>
      </w:r>
      <w:r w:rsidR="007B4C10">
        <w:rPr>
          <w:sz w:val="22"/>
          <w:szCs w:val="22"/>
        </w:rPr>
        <w:t>5</w:t>
      </w:r>
      <w:r w:rsidR="00475005">
        <w:rPr>
          <w:sz w:val="22"/>
          <w:szCs w:val="22"/>
        </w:rPr>
        <w:t>,</w:t>
      </w:r>
      <w:r w:rsidR="007B4C10">
        <w:rPr>
          <w:sz w:val="22"/>
          <w:szCs w:val="22"/>
        </w:rPr>
        <w:t>1</w:t>
      </w:r>
      <w:r w:rsidR="00475005">
        <w:rPr>
          <w:sz w:val="22"/>
          <w:szCs w:val="22"/>
        </w:rPr>
        <w:t xml:space="preserve"> por ciento), </w:t>
      </w:r>
      <w:r w:rsidR="00714287">
        <w:rPr>
          <w:sz w:val="22"/>
          <w:szCs w:val="22"/>
        </w:rPr>
        <w:t>servicios gubernamentales (</w:t>
      </w:r>
      <w:r w:rsidR="007B4C10">
        <w:rPr>
          <w:sz w:val="22"/>
          <w:szCs w:val="22"/>
        </w:rPr>
        <w:t>13,0</w:t>
      </w:r>
      <w:r w:rsidR="00714287">
        <w:rPr>
          <w:sz w:val="22"/>
          <w:szCs w:val="22"/>
        </w:rPr>
        <w:t xml:space="preserve"> por ciento) y servicios financieros (</w:t>
      </w:r>
      <w:r w:rsidR="00905B51">
        <w:rPr>
          <w:sz w:val="22"/>
          <w:szCs w:val="22"/>
        </w:rPr>
        <w:t>11</w:t>
      </w:r>
      <w:r w:rsidR="00714287">
        <w:rPr>
          <w:sz w:val="22"/>
          <w:szCs w:val="22"/>
        </w:rPr>
        <w:t>,</w:t>
      </w:r>
      <w:r w:rsidR="00905B51">
        <w:rPr>
          <w:sz w:val="22"/>
          <w:szCs w:val="22"/>
        </w:rPr>
        <w:t>8</w:t>
      </w:r>
      <w:r w:rsidR="00714287">
        <w:rPr>
          <w:sz w:val="22"/>
          <w:szCs w:val="22"/>
        </w:rPr>
        <w:t xml:space="preserve"> por ciento)</w:t>
      </w:r>
      <w:r w:rsidR="00B854E7">
        <w:rPr>
          <w:sz w:val="22"/>
          <w:szCs w:val="22"/>
        </w:rPr>
        <w:t>.</w:t>
      </w:r>
      <w:r w:rsidR="002808C3">
        <w:rPr>
          <w:sz w:val="22"/>
          <w:szCs w:val="22"/>
        </w:rPr>
        <w:t xml:space="preserve"> En contraste, se </w:t>
      </w:r>
      <w:r w:rsidR="00714287">
        <w:rPr>
          <w:sz w:val="22"/>
          <w:szCs w:val="22"/>
        </w:rPr>
        <w:t>contraj</w:t>
      </w:r>
      <w:r w:rsidR="007B4C10">
        <w:rPr>
          <w:sz w:val="22"/>
          <w:szCs w:val="22"/>
        </w:rPr>
        <w:t xml:space="preserve">o el </w:t>
      </w:r>
      <w:r w:rsidR="00714024">
        <w:rPr>
          <w:sz w:val="22"/>
          <w:szCs w:val="22"/>
        </w:rPr>
        <w:t>s</w:t>
      </w:r>
      <w:r w:rsidR="002808C3">
        <w:rPr>
          <w:sz w:val="22"/>
          <w:szCs w:val="22"/>
        </w:rPr>
        <w:t>ector</w:t>
      </w:r>
      <w:r w:rsidR="007B4C10">
        <w:rPr>
          <w:sz w:val="22"/>
          <w:szCs w:val="22"/>
        </w:rPr>
        <w:t xml:space="preserve"> </w:t>
      </w:r>
      <w:r w:rsidR="00905B51">
        <w:rPr>
          <w:sz w:val="22"/>
          <w:szCs w:val="22"/>
        </w:rPr>
        <w:t>de hidrocarburos (-0,</w:t>
      </w:r>
      <w:r w:rsidR="007B4C10">
        <w:rPr>
          <w:sz w:val="22"/>
          <w:szCs w:val="22"/>
        </w:rPr>
        <w:t>9</w:t>
      </w:r>
      <w:r w:rsidR="00905B51">
        <w:rPr>
          <w:sz w:val="22"/>
          <w:szCs w:val="22"/>
        </w:rPr>
        <w:t xml:space="preserve"> por ciento)</w:t>
      </w:r>
      <w:r w:rsidR="00FB6E97">
        <w:rPr>
          <w:sz w:val="22"/>
          <w:szCs w:val="22"/>
        </w:rPr>
        <w:t xml:space="preserve">. </w:t>
      </w:r>
    </w:p>
    <w:p w:rsidR="00714287" w:rsidRDefault="00714287" w:rsidP="0040195F">
      <w:pPr>
        <w:rPr>
          <w:sz w:val="22"/>
          <w:szCs w:val="22"/>
        </w:rPr>
        <w:sectPr w:rsidR="00714287" w:rsidSect="00714287">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7B4C10"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105" w:dyaOrig="6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267pt" o:ole="">
            <v:imagedata r:id="rId14" o:title=""/>
          </v:shape>
          <o:OLEObject Type="Embed" ProgID="Excel.Sheet.8" ShapeID="_x0000_i1025" DrawAspect="Content" ObjectID="_1423063362"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58139D" w:rsidRDefault="00852557" w:rsidP="003E1A7E">
      <w:pPr>
        <w:numPr>
          <w:ilvl w:val="2"/>
          <w:numId w:val="10"/>
        </w:numPr>
        <w:rPr>
          <w:b/>
        </w:rPr>
      </w:pPr>
      <w:r w:rsidRPr="00897B2A">
        <w:rPr>
          <w:b/>
        </w:rPr>
        <w:lastRenderedPageBreak/>
        <w:t>Producción</w:t>
      </w:r>
      <w:r w:rsidRPr="0058139D">
        <w:rPr>
          <w:b/>
        </w:rPr>
        <w:t xml:space="preserve">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3658FA" w:rsidRDefault="00F15211" w:rsidP="00F15211">
      <w:pPr>
        <w:pStyle w:val="Textoindependiente"/>
        <w:rPr>
          <w:rFonts w:ascii="Times" w:hAnsi="Times" w:cs="Arial"/>
          <w:sz w:val="22"/>
        </w:rPr>
      </w:pPr>
      <w:r>
        <w:rPr>
          <w:rFonts w:ascii="Times" w:hAnsi="Times" w:cs="Arial"/>
          <w:sz w:val="22"/>
        </w:rPr>
        <w:lastRenderedPageBreak/>
        <w:t xml:space="preserve">En diciembre, la </w:t>
      </w:r>
      <w:r>
        <w:rPr>
          <w:rFonts w:ascii="Times" w:hAnsi="Times" w:cs="Arial"/>
          <w:b/>
          <w:sz w:val="22"/>
        </w:rPr>
        <w:t>actividad agropecuaria</w:t>
      </w:r>
      <w:r>
        <w:rPr>
          <w:rFonts w:ascii="Times" w:hAnsi="Times" w:cs="Arial"/>
          <w:bCs/>
          <w:sz w:val="22"/>
        </w:rPr>
        <w:t xml:space="preserve"> </w:t>
      </w:r>
      <w:r>
        <w:rPr>
          <w:rFonts w:ascii="Times" w:hAnsi="Times" w:cs="Arial"/>
          <w:sz w:val="22"/>
        </w:rPr>
        <w:t xml:space="preserve">creció 57,3 por ciento en relación con similar mes del año anterior; esto obedeció a la expansión de los subsectores agrícola </w:t>
      </w:r>
      <w:r>
        <w:rPr>
          <w:rFonts w:ascii="Times" w:hAnsi="Times" w:cs="Arial"/>
          <w:sz w:val="22"/>
        </w:rPr>
        <w:lastRenderedPageBreak/>
        <w:t>(65,4 por ciento) y pecuario (8,3 por ciento).  En el año 2012 el sector creció 2,3 por ciento.</w:t>
      </w:r>
    </w:p>
    <w:p w:rsidR="003658FA" w:rsidRDefault="003658FA" w:rsidP="00F15211">
      <w:pPr>
        <w:pStyle w:val="Textoindependiente"/>
        <w:rPr>
          <w:rFonts w:ascii="Times" w:hAnsi="Times" w:cs="Arial"/>
          <w:sz w:val="22"/>
        </w:rPr>
        <w:sectPr w:rsidR="003658FA" w:rsidSect="003658FA">
          <w:type w:val="continuous"/>
          <w:pgSz w:w="11906" w:h="16838"/>
          <w:pgMar w:top="1418" w:right="1701" w:bottom="1276" w:left="1701" w:header="708" w:footer="708" w:gutter="0"/>
          <w:cols w:num="2" w:space="709"/>
          <w:docGrid w:linePitch="360"/>
        </w:sect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7B4C10"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92" w:dyaOrig="3070">
          <v:shape id="_x0000_i1026" type="#_x0000_t75" style="width:268.5pt;height:138pt" o:ole="">
            <v:imagedata r:id="rId16" o:title=""/>
            <o:lock v:ext="edit" aspectratio="f"/>
          </v:shape>
          <o:OLEObject Type="Embed" ProgID="Excel.Sheet.12" ShapeID="_x0000_i1026" DrawAspect="Content" ObjectID="_1423063363" r:id="rId17"/>
        </w:object>
      </w:r>
    </w:p>
    <w:p w:rsidR="00675AA8" w:rsidRDefault="00111A7C" w:rsidP="00D61BDC">
      <w:pPr>
        <w:pStyle w:val="Textoindependiente"/>
        <w:rPr>
          <w:rFonts w:ascii="Times" w:hAnsi="Times" w:cs="Arial"/>
          <w:bCs/>
          <w:sz w:val="22"/>
        </w:rPr>
      </w:pPr>
      <w:r>
        <w:rPr>
          <w:rFonts w:ascii="Times" w:hAnsi="Times" w:cs="Arial"/>
          <w:bCs/>
          <w:sz w:val="22"/>
        </w:rPr>
        <w:lastRenderedPageBreak/>
        <w:t>____________________</w:t>
      </w:r>
    </w:p>
    <w:p w:rsidR="00962808" w:rsidRDefault="00962808" w:rsidP="00D61BDC">
      <w:pPr>
        <w:pStyle w:val="Textoindependiente"/>
        <w:rPr>
          <w:rFonts w:ascii="Times" w:hAnsi="Times" w:cs="Arial"/>
          <w:bCs/>
          <w:sz w:val="22"/>
        </w:rPr>
      </w:pPr>
    </w:p>
    <w:p w:rsidR="00962808" w:rsidRDefault="00D63A80"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r>
        <w:rPr>
          <w:rFonts w:ascii="Times" w:hAnsi="Times" w:cs="Arial"/>
          <w:bCs/>
          <w:noProof/>
          <w:sz w:val="22"/>
          <w:lang w:val="es-PE" w:eastAsia="es-PE"/>
        </w:rPr>
        <w:pict>
          <v:shape id="_x0000_s410152" type="#_x0000_t202" style="position:absolute;left:0;text-align:left;margin-left:-235.05pt;margin-top:8.7pt;width:445.15pt;height:45.75pt;z-index:251819520;mso-width-relative:margin;mso-height-relative:margin" stroked="f">
            <v:textbox style="mso-next-textbox:#_x0000_s410152">
              <w:txbxContent>
                <w:p w:rsidR="00F2504B" w:rsidRPr="00E63ED3" w:rsidRDefault="00F2504B" w:rsidP="00111A7C">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crecieron en 9,7  por ciento, pero como su peso relativo en el PBI es de 58,5 por ciento, su aporte al crecimiento regional es de 5,7 por ciento (9,7%  x 0.585).</w:t>
                  </w:r>
                </w:p>
              </w:txbxContent>
            </v:textbox>
          </v:shape>
        </w:pict>
      </w:r>
    </w:p>
    <w:p w:rsidR="00D61BDC" w:rsidRDefault="00F15211" w:rsidP="00D33F31">
      <w:pPr>
        <w:pStyle w:val="Textoindependiente"/>
        <w:jc w:val="center"/>
      </w:pPr>
      <w:r>
        <w:object w:dxaOrig="7718" w:dyaOrig="6394">
          <v:shape id="_x0000_i1027" type="#_x0000_t75" style="width:367.5pt;height:330pt" o:ole="">
            <v:imagedata r:id="rId18" o:title=""/>
            <o:lock v:ext="edit" aspectratio="f"/>
          </v:shape>
          <o:OLEObject Type="Embed" ProgID="Excel.Sheet.12" ShapeID="_x0000_i1027" DrawAspect="Content" ObjectID="_1423063364"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D61BDC" w:rsidRDefault="00D61BDC" w:rsidP="00D61BDC">
      <w:pPr>
        <w:rPr>
          <w:sz w:val="22"/>
        </w:rPr>
      </w:pPr>
    </w:p>
    <w:p w:rsidR="00AE42EA" w:rsidRDefault="00AE42EA" w:rsidP="00D61BDC">
      <w:pPr>
        <w:rPr>
          <w:sz w:val="22"/>
        </w:rPr>
      </w:pPr>
    </w:p>
    <w:p w:rsidR="009F349E" w:rsidRDefault="009F349E" w:rsidP="00D61BDC">
      <w:pPr>
        <w:rPr>
          <w:sz w:val="22"/>
        </w:rPr>
        <w:sectPr w:rsidR="009F349E" w:rsidSect="00AE42EA">
          <w:type w:val="continuous"/>
          <w:pgSz w:w="11906" w:h="16838"/>
          <w:pgMar w:top="1418" w:right="1701" w:bottom="1276" w:left="1701" w:header="720" w:footer="720" w:gutter="0"/>
          <w:cols w:space="720"/>
        </w:sectPr>
      </w:pPr>
    </w:p>
    <w:p w:rsidR="00F15211" w:rsidRDefault="00F15211" w:rsidP="00F15211">
      <w:pPr>
        <w:rPr>
          <w:sz w:val="22"/>
        </w:rPr>
      </w:pPr>
      <w:r>
        <w:rPr>
          <w:sz w:val="22"/>
        </w:rPr>
        <w:lastRenderedPageBreak/>
        <w:t xml:space="preserve">El desempeño ampliamente positivo del subsector agrícola respondió al incremento en la producción de arroz (470,3 por ciento), limón (10,8 por ciento), maíz amarillo duro (16,1 por ciento), mango (239,4 por ciento) y uva (37,1 por ciento). En el caso del arroz, fue determinante la mayor siembra y adelanto de la campaña chica. En relación con el mango, se observa </w:t>
      </w:r>
      <w:r>
        <w:rPr>
          <w:sz w:val="22"/>
        </w:rPr>
        <w:lastRenderedPageBreak/>
        <w:t>un efecto de rebote, ya que la campaña anterior fue atípicamente mala. Es destacable también el comportamiento positivo de la uva, explicado por el incremento de siembras ante un escenario favorable en el mercado internacional y la buena respuesta en términos de rendimiento y calidad de la fruta debido a condiciones climáticas propicias.</w:t>
      </w:r>
    </w:p>
    <w:p w:rsidR="00147380" w:rsidRDefault="00147380" w:rsidP="00AE42EA">
      <w:pPr>
        <w:rPr>
          <w:sz w:val="22"/>
          <w:szCs w:val="22"/>
        </w:rPr>
        <w:sectPr w:rsidR="00147380" w:rsidSect="007C0329">
          <w:headerReference w:type="default" r:id="rId22"/>
          <w:footerReference w:type="default" r:id="rId23"/>
          <w:type w:val="continuous"/>
          <w:pgSz w:w="11906" w:h="16838"/>
          <w:pgMar w:top="1418" w:right="1701" w:bottom="1276" w:left="1701" w:header="720" w:footer="720" w:gutter="0"/>
          <w:cols w:num="2" w:space="709"/>
        </w:sectPr>
      </w:pPr>
    </w:p>
    <w:p w:rsidR="006D41CC" w:rsidRDefault="006D41CC" w:rsidP="00AE42EA">
      <w:pPr>
        <w:rPr>
          <w:sz w:val="22"/>
          <w:szCs w:val="22"/>
        </w:rPr>
      </w:pPr>
    </w:p>
    <w:p w:rsidR="006D41CC" w:rsidRDefault="006D41CC" w:rsidP="00AE42EA">
      <w:pPr>
        <w:rPr>
          <w:sz w:val="22"/>
          <w:szCs w:val="22"/>
        </w:rPr>
      </w:pPr>
    </w:p>
    <w:p w:rsidR="009F349E" w:rsidRDefault="009F349E" w:rsidP="00AE42EA">
      <w:pPr>
        <w:rPr>
          <w:sz w:val="22"/>
          <w:szCs w:val="22"/>
        </w:rPr>
        <w:sectPr w:rsidR="009F349E" w:rsidSect="006D41CC">
          <w:type w:val="continuous"/>
          <w:pgSz w:w="11906" w:h="16838"/>
          <w:pgMar w:top="1418" w:right="1701" w:bottom="1276" w:left="1701" w:header="720" w:footer="720" w:gutter="0"/>
          <w:cols w:space="709"/>
        </w:sectPr>
      </w:pPr>
    </w:p>
    <w:p w:rsidR="006D41CC" w:rsidRDefault="00F15211" w:rsidP="00AE42EA">
      <w:pPr>
        <w:rPr>
          <w:sz w:val="22"/>
          <w:szCs w:val="22"/>
        </w:rPr>
      </w:pPr>
      <w:r>
        <w:object w:dxaOrig="4279" w:dyaOrig="3480">
          <v:shape id="_x0000_i1028" type="#_x0000_t75" style="width:202.5pt;height:179.25pt" o:ole="">
            <v:imagedata r:id="rId24" o:title=""/>
          </v:shape>
          <o:OLEObject Type="Embed" ProgID="Excel.Sheet.8" ShapeID="_x0000_i1028" DrawAspect="Content" ObjectID="_1423063365" r:id="rId25"/>
        </w:object>
      </w:r>
    </w:p>
    <w:p w:rsidR="00551565" w:rsidRDefault="00F15211" w:rsidP="00AE42EA">
      <w:pPr>
        <w:rPr>
          <w:sz w:val="22"/>
          <w:szCs w:val="22"/>
        </w:rPr>
      </w:pPr>
      <w:r>
        <w:object w:dxaOrig="4279" w:dyaOrig="3480">
          <v:shape id="_x0000_i1029" type="#_x0000_t75" style="width:202.5pt;height:179.25pt" o:ole="">
            <v:imagedata r:id="rId26" o:title=""/>
          </v:shape>
          <o:OLEObject Type="Embed" ProgID="Excel.Sheet.8" ShapeID="_x0000_i1029" DrawAspect="Content" ObjectID="_1423063366" r:id="rId27"/>
        </w:object>
      </w:r>
    </w:p>
    <w:p w:rsidR="00602E1C" w:rsidRDefault="00602E1C" w:rsidP="00AE42EA">
      <w:pPr>
        <w:rPr>
          <w:sz w:val="22"/>
          <w:szCs w:val="22"/>
        </w:rPr>
      </w:pPr>
    </w:p>
    <w:p w:rsidR="00551565" w:rsidRDefault="00551565" w:rsidP="00165A89">
      <w:pPr>
        <w:rPr>
          <w:sz w:val="22"/>
        </w:rPr>
        <w:sectPr w:rsidR="00551565" w:rsidSect="00165A89">
          <w:type w:val="continuous"/>
          <w:pgSz w:w="11906" w:h="16838"/>
          <w:pgMar w:top="1418" w:right="1701" w:bottom="1276" w:left="1701" w:header="720" w:footer="720" w:gutter="0"/>
          <w:cols w:num="2" w:space="709"/>
        </w:sectPr>
      </w:pPr>
    </w:p>
    <w:p w:rsidR="00907111" w:rsidRDefault="00907111" w:rsidP="00D61BDC">
      <w:pPr>
        <w:rPr>
          <w:sz w:val="22"/>
          <w:szCs w:val="22"/>
        </w:rPr>
        <w:sectPr w:rsidR="00907111" w:rsidSect="00165A89">
          <w:headerReference w:type="default" r:id="rId28"/>
          <w:footerReference w:type="default" r:id="rId29"/>
          <w:type w:val="continuous"/>
          <w:pgSz w:w="11906" w:h="16838"/>
          <w:pgMar w:top="1418" w:right="1701" w:bottom="1276" w:left="1701" w:header="720" w:footer="720" w:gutter="0"/>
          <w:cols w:space="709"/>
        </w:sectPr>
      </w:pPr>
    </w:p>
    <w:p w:rsidR="00165A89" w:rsidRDefault="00165A89" w:rsidP="00AE42EA">
      <w:pPr>
        <w:rPr>
          <w:sz w:val="22"/>
        </w:rPr>
        <w:sectPr w:rsidR="00165A89">
          <w:headerReference w:type="default" r:id="rId30"/>
          <w:footerReference w:type="default" r:id="rId31"/>
          <w:type w:val="continuous"/>
          <w:pgSz w:w="11906" w:h="16838"/>
          <w:pgMar w:top="1418" w:right="1701" w:bottom="1276" w:left="1701" w:header="720" w:footer="720" w:gutter="0"/>
          <w:cols w:space="720"/>
        </w:sectPr>
      </w:pPr>
    </w:p>
    <w:p w:rsidR="00D61BDC" w:rsidRDefault="00F15211" w:rsidP="00D61BDC">
      <w:pPr>
        <w:jc w:val="center"/>
        <w:rPr>
          <w:sz w:val="22"/>
        </w:rPr>
      </w:pPr>
      <w:r w:rsidRPr="00EB0090">
        <w:rPr>
          <w:sz w:val="22"/>
        </w:rPr>
        <w:object w:dxaOrig="5710" w:dyaOrig="3481">
          <v:shape id="_x0000_i1030" type="#_x0000_t75" style="width:272.25pt;height:179.25pt" o:ole="">
            <v:imagedata r:id="rId32" o:title=""/>
          </v:shape>
          <o:OLEObject Type="Embed" ProgID="Excel.Sheet.8" ShapeID="_x0000_i1030" DrawAspect="Content" ObjectID="_1423063367" r:id="rId33"/>
        </w:object>
      </w:r>
    </w:p>
    <w:p w:rsidR="00A3588F" w:rsidRDefault="00A3588F" w:rsidP="00D61BDC">
      <w:pPr>
        <w:jc w:val="center"/>
        <w:rPr>
          <w:sz w:val="22"/>
        </w:rPr>
      </w:pPr>
    </w:p>
    <w:p w:rsidR="00F15211" w:rsidRDefault="00F15211" w:rsidP="00D61BDC">
      <w:pPr>
        <w:rPr>
          <w:rFonts w:ascii="Arial" w:hAnsi="Arial"/>
          <w:sz w:val="22"/>
          <w:szCs w:val="22"/>
        </w:rPr>
        <w:sectPr w:rsidR="00F15211">
          <w:headerReference w:type="default" r:id="rId34"/>
          <w:footerReference w:type="default" r:id="rId35"/>
          <w:type w:val="continuous"/>
          <w:pgSz w:w="11906" w:h="16838"/>
          <w:pgMar w:top="1418" w:right="1701" w:bottom="1276" w:left="1701" w:header="720" w:footer="720" w:gutter="0"/>
          <w:cols w:space="720"/>
        </w:sectPr>
      </w:pPr>
    </w:p>
    <w:p w:rsidR="00D61BDC" w:rsidRDefault="00D61BDC" w:rsidP="00D61BDC">
      <w:pPr>
        <w:rPr>
          <w:rFonts w:ascii="Arial" w:hAnsi="Arial"/>
          <w:sz w:val="22"/>
          <w:szCs w:val="22"/>
        </w:rPr>
      </w:pPr>
    </w:p>
    <w:p w:rsidR="00F15211" w:rsidRDefault="00F15211" w:rsidP="00F15211">
      <w:pPr>
        <w:rPr>
          <w:rFonts w:ascii="Times" w:hAnsi="Times" w:cs="Arial"/>
          <w:sz w:val="22"/>
        </w:rPr>
      </w:pPr>
      <w:r>
        <w:rPr>
          <w:rFonts w:ascii="Times" w:hAnsi="Times" w:cs="Arial"/>
          <w:sz w:val="22"/>
        </w:rPr>
        <w:t xml:space="preserve">En el mes bajo análisis, los </w:t>
      </w:r>
      <w:r>
        <w:rPr>
          <w:rFonts w:ascii="Times" w:hAnsi="Times" w:cs="Arial"/>
          <w:b/>
          <w:bCs/>
          <w:sz w:val="22"/>
        </w:rPr>
        <w:t>precios en chacra</w:t>
      </w:r>
      <w:r>
        <w:rPr>
          <w:rFonts w:ascii="Times" w:hAnsi="Times" w:cs="Arial"/>
          <w:sz w:val="22"/>
        </w:rPr>
        <w:t xml:space="preserve"> mostraron comportamientos mixtos con relación a similar período del año anterior. Los incrementos más notables se registraron en los casos del maracuyá (36,4 </w:t>
      </w:r>
    </w:p>
    <w:p w:rsidR="00F15211" w:rsidRDefault="00F15211" w:rsidP="00F15211">
      <w:pPr>
        <w:rPr>
          <w:rFonts w:ascii="Times" w:hAnsi="Times" w:cs="Arial"/>
          <w:sz w:val="22"/>
        </w:rPr>
      </w:pPr>
    </w:p>
    <w:p w:rsidR="00F15211" w:rsidRDefault="00F15211" w:rsidP="00F15211">
      <w:pPr>
        <w:rPr>
          <w:rFonts w:ascii="Times" w:hAnsi="Times" w:cs="Arial"/>
          <w:sz w:val="22"/>
        </w:rPr>
      </w:pPr>
      <w:r>
        <w:rPr>
          <w:rFonts w:ascii="Times" w:hAnsi="Times" w:cs="Arial"/>
          <w:sz w:val="22"/>
        </w:rPr>
        <w:t xml:space="preserve">por ciento) y el camote (30,0 por ciento); mientras que las caídas de precios más marcadas fueron las de la yuca (-50,0 por ciento), limón (-39,2 por ciento) y frijol caupí (-33,1 por ciento). </w:t>
      </w:r>
    </w:p>
    <w:p w:rsidR="00F15211" w:rsidRDefault="00F15211" w:rsidP="00D61BDC">
      <w:pPr>
        <w:pStyle w:val="Textoindependiente2"/>
        <w:rPr>
          <w:sz w:val="22"/>
        </w:rPr>
        <w:sectPr w:rsidR="00F15211" w:rsidSect="00F15211">
          <w:type w:val="continuous"/>
          <w:pgSz w:w="11906" w:h="16838"/>
          <w:pgMar w:top="1418" w:right="1701" w:bottom="1276" w:left="1701" w:header="720" w:footer="720" w:gutter="0"/>
          <w:cols w:num="2" w:space="720"/>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1027C8" w:rsidP="00D61BDC">
      <w:pPr>
        <w:pStyle w:val="Textoindependiente2"/>
        <w:tabs>
          <w:tab w:val="right" w:pos="8460"/>
        </w:tabs>
        <w:sectPr w:rsidR="00A3588F">
          <w:type w:val="continuous"/>
          <w:pgSz w:w="11906" w:h="16838"/>
          <w:pgMar w:top="1418" w:right="1701" w:bottom="1276" w:left="1701" w:header="720" w:footer="720" w:gutter="0"/>
          <w:cols w:space="720"/>
        </w:sectPr>
      </w:pPr>
      <w:r>
        <w:rPr>
          <w:noProof/>
          <w:lang w:val="es-PE" w:eastAsia="es-PE"/>
        </w:rPr>
        <w:drawing>
          <wp:anchor distT="0" distB="0" distL="114300" distR="114300" simplePos="0" relativeHeight="251818496" behindDoc="0" locked="0" layoutInCell="1" allowOverlap="1">
            <wp:simplePos x="0" y="0"/>
            <wp:positionH relativeFrom="column">
              <wp:posOffset>3134360</wp:posOffset>
            </wp:positionH>
            <wp:positionV relativeFrom="paragraph">
              <wp:posOffset>293370</wp:posOffset>
            </wp:positionV>
            <wp:extent cx="2293620" cy="2452370"/>
            <wp:effectExtent l="19050" t="0" r="0" b="0"/>
            <wp:wrapNone/>
            <wp:docPr id="3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6" cstate="print"/>
                    <a:srcRect/>
                    <a:stretch>
                      <a:fillRect/>
                    </a:stretch>
                  </pic:blipFill>
                  <pic:spPr bwMode="auto">
                    <a:xfrm>
                      <a:off x="0" y="0"/>
                      <a:ext cx="2293620" cy="2452370"/>
                    </a:xfrm>
                    <a:prstGeom prst="rect">
                      <a:avLst/>
                    </a:prstGeom>
                    <a:noFill/>
                    <a:ln w="9525">
                      <a:noFill/>
                      <a:miter lim="800000"/>
                      <a:headEnd/>
                      <a:tailEnd/>
                    </a:ln>
                  </pic:spPr>
                </pic:pic>
              </a:graphicData>
            </a:graphic>
          </wp:anchor>
        </w:drawing>
      </w:r>
      <w:r w:rsidR="00F15211">
        <w:object w:dxaOrig="4404" w:dyaOrig="6166">
          <v:shape id="_x0000_i1031" type="#_x0000_t75" style="width:210pt;height:318pt" o:ole="">
            <v:imagedata r:id="rId37" o:title=""/>
            <o:lock v:ext="edit" aspectratio="f"/>
          </v:shape>
          <o:OLEObject Type="Embed" ProgID="Excel.Sheet.12" ShapeID="_x0000_i1031" DrawAspect="Content" ObjectID="_1423063368" r:id="rId38"/>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F15211" w:rsidP="00D61BDC">
      <w:pPr>
        <w:pStyle w:val="Textoindependiente2"/>
        <w:jc w:val="center"/>
        <w:rPr>
          <w:rFonts w:ascii="Helvetica" w:hAnsi="Helvetica"/>
          <w:sz w:val="22"/>
          <w:szCs w:val="22"/>
        </w:rPr>
      </w:pPr>
      <w:r w:rsidRPr="00EB0090">
        <w:rPr>
          <w:rFonts w:ascii="Helvetica" w:hAnsi="Helvetica"/>
          <w:sz w:val="22"/>
          <w:szCs w:val="22"/>
        </w:rPr>
        <w:object w:dxaOrig="5446" w:dyaOrig="3235">
          <v:shape id="_x0000_i1032" type="#_x0000_t75" style="width:259.5pt;height:168.75pt" o:ole="">
            <v:imagedata r:id="rId39" o:title=""/>
            <o:lock v:ext="edit" aspectratio="f"/>
          </v:shape>
          <o:OLEObject Type="Embed" ProgID="Excel.Sheet.12" ShapeID="_x0000_i1032" DrawAspect="Content" ObjectID="_1423063369" r:id="rId40"/>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pPr>
    </w:p>
    <w:p w:rsidR="00AE42EA" w:rsidRDefault="00AE42EA" w:rsidP="00D61BDC">
      <w:pPr>
        <w:pStyle w:val="Textoindependiente"/>
        <w:rPr>
          <w:rFonts w:ascii="Times" w:hAnsi="Times" w:cs="Times"/>
          <w:sz w:val="22"/>
          <w:szCs w:val="22"/>
        </w:rPr>
        <w:sectPr w:rsidR="00AE42EA">
          <w:type w:val="continuous"/>
          <w:pgSz w:w="11906" w:h="16838"/>
          <w:pgMar w:top="1418" w:right="1701" w:bottom="1276" w:left="1701" w:header="720" w:footer="720" w:gutter="0"/>
          <w:cols w:space="720"/>
        </w:sectPr>
      </w:pPr>
    </w:p>
    <w:p w:rsidR="00F15211" w:rsidRDefault="00F15211" w:rsidP="00F15211">
      <w:pPr>
        <w:pStyle w:val="Textoindependiente"/>
        <w:rPr>
          <w:rFonts w:ascii="Times" w:hAnsi="Times" w:cs="Times"/>
          <w:sz w:val="22"/>
          <w:szCs w:val="22"/>
        </w:rPr>
        <w:sectPr w:rsidR="00F15211" w:rsidSect="00171E51">
          <w:type w:val="continuous"/>
          <w:pgSz w:w="11906" w:h="16838"/>
          <w:pgMar w:top="1418" w:right="1701" w:bottom="1276" w:left="1701" w:header="720" w:footer="720" w:gutter="0"/>
          <w:cols w:num="2" w:space="709"/>
        </w:sectPr>
      </w:pPr>
      <w:r>
        <w:rPr>
          <w:rFonts w:ascii="Times" w:hAnsi="Times" w:cs="Times"/>
          <w:sz w:val="22"/>
          <w:szCs w:val="22"/>
        </w:rPr>
        <w:lastRenderedPageBreak/>
        <w:t xml:space="preserve">En diciembre, las siembras de cultivos transitorios disminuyeron en 28,4 por ciento, lo cual obedeció básicamente a la menor instalación de algodón (-100,0 por ciento) y maíz amiláceo (-25,5 por ciento). En el caso del algodón, fue determinante el mal resultado de la campaña anterior </w:t>
      </w:r>
      <w:r>
        <w:rPr>
          <w:rFonts w:ascii="Times" w:hAnsi="Times" w:cs="Times"/>
          <w:sz w:val="22"/>
          <w:szCs w:val="22"/>
        </w:rPr>
        <w:lastRenderedPageBreak/>
        <w:t>propiciado por factores climáticos y fitosanitarios adversos. La tendencia es que en el transcurso de la campaña el algodón sea sustituido por arroz y maíz amarillo duro. Cabe señalar que las condiciones hídricas se presentan favorables.</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126EC3" w:rsidRDefault="00126EC3" w:rsidP="00D804CE">
      <w:pPr>
        <w:pStyle w:val="Textoindependiente"/>
        <w:rPr>
          <w:rFonts w:ascii="Times" w:hAnsi="Times" w:cs="Times"/>
          <w:sz w:val="22"/>
          <w:szCs w:val="22"/>
        </w:rPr>
      </w:pPr>
    </w:p>
    <w:p w:rsidR="00AE42EA" w:rsidRDefault="00AE42EA" w:rsidP="00D804CE">
      <w:pPr>
        <w:pStyle w:val="Textoindependiente"/>
        <w:rPr>
          <w:rFonts w:ascii="Times" w:hAnsi="Times" w:cs="Times"/>
          <w:sz w:val="22"/>
          <w:szCs w:val="22"/>
        </w:rPr>
      </w:pPr>
    </w:p>
    <w:p w:rsidR="00A91503" w:rsidRDefault="00A91503" w:rsidP="00D804CE">
      <w:pPr>
        <w:pStyle w:val="Textoindependiente"/>
        <w:rPr>
          <w:rFonts w:ascii="Times" w:hAnsi="Times" w:cs="Times"/>
          <w:sz w:val="22"/>
          <w:szCs w:val="22"/>
        </w:rPr>
        <w:sectPr w:rsidR="00A91503" w:rsidSect="00DD1094">
          <w:type w:val="continuous"/>
          <w:pgSz w:w="11906" w:h="16838"/>
          <w:pgMar w:top="1418" w:right="1701" w:bottom="1276" w:left="1701" w:header="720" w:footer="720" w:gutter="0"/>
          <w:cols w:num="2" w:space="709"/>
        </w:sectPr>
      </w:pPr>
    </w:p>
    <w:p w:rsidR="00E15A60" w:rsidRDefault="00F15211"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50" w:dyaOrig="6668">
          <v:shape id="_x0000_i1033" type="#_x0000_t75" style="width:340.5pt;height:343.5pt" o:ole="">
            <v:imagedata r:id="rId41" o:title=""/>
            <o:lock v:ext="edit" aspectratio="f"/>
          </v:shape>
          <o:OLEObject Type="Embed" ProgID="Excel.Sheet.12" ShapeID="_x0000_i1033" DrawAspect="Content" ObjectID="_1423063370" r:id="rId42"/>
        </w:object>
      </w:r>
    </w:p>
    <w:p w:rsidR="00D61BDC" w:rsidRDefault="00D61BDC"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AE42EA" w:rsidRDefault="00AE42EA" w:rsidP="00D61BDC">
      <w:pPr>
        <w:pStyle w:val="Textoindependiente"/>
        <w:rPr>
          <w:rFonts w:ascii="Times New Roman" w:hAnsi="Times New Roman"/>
          <w:sz w:val="22"/>
        </w:rPr>
      </w:pPr>
    </w:p>
    <w:p w:rsidR="00122A01" w:rsidRDefault="00122A01" w:rsidP="00D61BDC">
      <w:pPr>
        <w:pStyle w:val="Textoindependiente"/>
        <w:rPr>
          <w:rFonts w:ascii="Times New Roman" w:hAnsi="Times New Roman"/>
          <w:sz w:val="22"/>
        </w:rPr>
        <w:sectPr w:rsidR="00122A01" w:rsidSect="00E15A60">
          <w:type w:val="continuous"/>
          <w:pgSz w:w="11906" w:h="16838"/>
          <w:pgMar w:top="1418" w:right="1701" w:bottom="1276" w:left="1701" w:header="720" w:footer="720" w:gutter="0"/>
          <w:cols w:space="709"/>
        </w:sectPr>
      </w:pPr>
    </w:p>
    <w:p w:rsidR="00A91503" w:rsidRDefault="00A91503" w:rsidP="00E15A60">
      <w:pPr>
        <w:rPr>
          <w:lang w:val="es-MX"/>
        </w:rPr>
      </w:pPr>
    </w:p>
    <w:p w:rsidR="00D64902" w:rsidRDefault="00D64902" w:rsidP="00E15A60">
      <w:pPr>
        <w:rPr>
          <w:lang w:val="es-MX"/>
        </w:rPr>
      </w:pPr>
    </w:p>
    <w:p w:rsidR="00F15211" w:rsidRDefault="00F15211" w:rsidP="00F15211">
      <w:pPr>
        <w:rPr>
          <w:sz w:val="22"/>
        </w:rPr>
      </w:pPr>
      <w:r>
        <w:rPr>
          <w:sz w:val="22"/>
        </w:rPr>
        <w:lastRenderedPageBreak/>
        <w:t xml:space="preserve">En el mes bajo análisis, la actividad pecuaria creció 8,3 por ciento respecto de análogo período del año pasado. Esto radicó en la mayor producción de todas las </w:t>
      </w:r>
      <w:r>
        <w:rPr>
          <w:sz w:val="22"/>
        </w:rPr>
        <w:lastRenderedPageBreak/>
        <w:t xml:space="preserve">especies cárnicas, así como de huevos y leche. En particular, la producción de carne de aves se expandió en 9,9 por ciento y la de vacunos, en 7,1 por ciento. </w:t>
      </w:r>
    </w:p>
    <w:p w:rsidR="00D64902" w:rsidRDefault="00D64902" w:rsidP="00E15A60">
      <w:pPr>
        <w:rPr>
          <w:lang w:val="es-MX"/>
        </w:rPr>
        <w:sectPr w:rsidR="00D64902"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921616" w:rsidRDefault="00921616" w:rsidP="00E15A60">
      <w:pPr>
        <w:rPr>
          <w:lang w:val="es-MX"/>
        </w:rPr>
      </w:pPr>
    </w:p>
    <w:p w:rsidR="00E15A60" w:rsidRPr="00E15A60" w:rsidRDefault="0032253C" w:rsidP="00E15A60">
      <w:pPr>
        <w:jc w:val="center"/>
        <w:rPr>
          <w:lang w:val="es-MX"/>
        </w:rPr>
      </w:pPr>
      <w:r>
        <w:object w:dxaOrig="6874" w:dyaOrig="3699">
          <v:shape id="_x0000_i1034" type="#_x0000_t75" style="width:318pt;height:192.75pt" o:ole="">
            <v:imagedata r:id="rId43" o:title=""/>
            <o:lock v:ext="edit" aspectratio="f"/>
          </v:shape>
          <o:OLEObject Type="Embed" ProgID="Excel.Sheet.12" ShapeID="_x0000_i1034" DrawAspect="Content" ObjectID="_1423063371" r:id="rId44"/>
        </w:object>
      </w:r>
    </w:p>
    <w:p w:rsidR="00E15A60" w:rsidRDefault="00E15A60" w:rsidP="00E15A60">
      <w:pPr>
        <w:rPr>
          <w:lang w:val="es-MX"/>
        </w:rPr>
      </w:pPr>
    </w:p>
    <w:p w:rsidR="00921616" w:rsidRPr="00E15A60" w:rsidRDefault="00921616" w:rsidP="00E15A60">
      <w:pPr>
        <w:rPr>
          <w:lang w:val="es-MX"/>
        </w:rPr>
      </w:pPr>
    </w:p>
    <w:p w:rsidR="00D61BDC" w:rsidRDefault="00F15211"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EB0090">
        <w:rPr>
          <w:rFonts w:ascii="Helvetica" w:hAnsi="Helvetica"/>
          <w:b/>
          <w:sz w:val="22"/>
          <w:szCs w:val="22"/>
          <w:lang w:val="en-US"/>
        </w:rPr>
        <w:object w:dxaOrig="4526" w:dyaOrig="3234">
          <v:shape id="_x0000_i1035" type="#_x0000_t75" style="width:215.25pt;height:167.25pt" o:ole="">
            <v:imagedata r:id="rId45" o:title=""/>
          </v:shape>
          <o:OLEObject Type="Embed" ProgID="Excel.Sheet.8" ShapeID="_x0000_i1035" DrawAspect="Content" ObjectID="_1423063372" r:id="rId46"/>
        </w:object>
      </w:r>
    </w:p>
    <w:p w:rsidR="00E15A60" w:rsidRDefault="00E15A60" w:rsidP="00E15A60"/>
    <w:p w:rsidR="00921616" w:rsidRDefault="00921616" w:rsidP="00E15A60"/>
    <w:p w:rsidR="00165A89" w:rsidRDefault="00D63A80" w:rsidP="00165A89">
      <w:pPr>
        <w:rPr>
          <w:sz w:val="22"/>
        </w:rPr>
        <w:sectPr w:rsidR="00165A89" w:rsidSect="00E15A60">
          <w:type w:val="continuous"/>
          <w:pgSz w:w="11906" w:h="16838"/>
          <w:pgMar w:top="1418" w:right="1701" w:bottom="1276" w:left="1701" w:header="720" w:footer="720" w:gutter="0"/>
          <w:cols w:space="709"/>
        </w:sectPr>
      </w:pPr>
      <w:r w:rsidRPr="00D63A80">
        <w:rPr>
          <w:noProof/>
        </w:rPr>
        <w:pict>
          <v:shape id="_x0000_s410052" type="#_x0000_t75" style="position:absolute;left:0;text-align:left;margin-left:218.8pt;margin-top:2.15pt;width:193.5pt;height:173.25pt;z-index:251807232">
            <v:imagedata r:id="rId47" o:title=""/>
            <o:lock v:ext="edit" aspectratio="f"/>
          </v:shape>
          <o:OLEObject Type="Embed" ProgID="Excel.Sheet.8" ShapeID="_x0000_s410052" DrawAspect="Content" ObjectID="_1423063403" r:id="rId48"/>
        </w:pict>
      </w:r>
      <w:r w:rsidR="00F15211">
        <w:object w:dxaOrig="3615" w:dyaOrig="3585">
          <v:shape id="_x0000_i1036" type="#_x0000_t75" style="width:172.5pt;height:184.5pt" o:ole="">
            <v:imagedata r:id="rId49" o:title=""/>
            <o:lock v:ext="edit" aspectratio="f"/>
          </v:shape>
          <o:OLEObject Type="Embed" ProgID="Excel.Sheet.8" ShapeID="_x0000_i1036" DrawAspect="Content" ObjectID="_1423063373" r:id="rId50"/>
        </w:object>
      </w:r>
      <w:r w:rsidR="00E15A60">
        <w:t xml:space="preserve">    </w:t>
      </w:r>
      <w:r w:rsidR="00E15A60">
        <w:tab/>
      </w:r>
    </w:p>
    <w:p w:rsidR="00E50D75" w:rsidRDefault="00E50D75" w:rsidP="00E50D75">
      <w:pPr>
        <w:rPr>
          <w:b/>
        </w:rPr>
      </w:pPr>
      <w:r w:rsidRPr="00BD2221">
        <w:rPr>
          <w:b/>
        </w:rPr>
        <w:lastRenderedPageBreak/>
        <w:t>1.1.2. Producción Pesquera</w:t>
      </w:r>
    </w:p>
    <w:p w:rsidR="003D51E4" w:rsidRDefault="003D51E4">
      <w:pPr>
        <w:jc w:val="center"/>
        <w:rPr>
          <w:rFonts w:ascii="Arial" w:hAnsi="Arial"/>
          <w:b/>
          <w:highlight w:val="yellow"/>
        </w:rPr>
      </w:pPr>
    </w:p>
    <w:p w:rsidR="00D972D0" w:rsidRDefault="00D972D0" w:rsidP="00E50D75">
      <w:pPr>
        <w:rPr>
          <w:sz w:val="22"/>
        </w:rPr>
        <w:sectPr w:rsidR="00D972D0">
          <w:headerReference w:type="first" r:id="rId51"/>
          <w:footerReference w:type="first" r:id="rId52"/>
          <w:type w:val="continuous"/>
          <w:pgSz w:w="11907" w:h="16840" w:code="9"/>
          <w:pgMar w:top="1701" w:right="1418" w:bottom="1418" w:left="1701" w:header="1134" w:footer="1134" w:gutter="0"/>
          <w:paperSrc w:first="15"/>
          <w:cols w:space="709"/>
          <w:titlePg/>
        </w:sectPr>
      </w:pPr>
    </w:p>
    <w:p w:rsidR="00BD2221" w:rsidRDefault="00273656" w:rsidP="00BD2221">
      <w:pPr>
        <w:rPr>
          <w:sz w:val="22"/>
          <w:szCs w:val="22"/>
        </w:rPr>
      </w:pPr>
      <w:r w:rsidRPr="00DA797F">
        <w:rPr>
          <w:sz w:val="22"/>
          <w:szCs w:val="22"/>
        </w:rPr>
        <w:lastRenderedPageBreak/>
        <w:t xml:space="preserve">En </w:t>
      </w:r>
      <w:r w:rsidR="00BD2221">
        <w:rPr>
          <w:sz w:val="22"/>
          <w:szCs w:val="22"/>
        </w:rPr>
        <w:t>dic</w:t>
      </w:r>
      <w:r w:rsidRPr="00DA797F">
        <w:rPr>
          <w:sz w:val="22"/>
          <w:szCs w:val="22"/>
        </w:rPr>
        <w:t xml:space="preserve">iembre, la </w:t>
      </w:r>
      <w:r w:rsidRPr="00DA797F">
        <w:rPr>
          <w:b/>
          <w:bCs/>
          <w:sz w:val="22"/>
          <w:szCs w:val="22"/>
        </w:rPr>
        <w:t xml:space="preserve">producción pesquera </w:t>
      </w:r>
      <w:r w:rsidRPr="00DA797F">
        <w:rPr>
          <w:sz w:val="22"/>
          <w:szCs w:val="22"/>
        </w:rPr>
        <w:t xml:space="preserve">creció en </w:t>
      </w:r>
      <w:r w:rsidR="00BD2221">
        <w:rPr>
          <w:sz w:val="22"/>
          <w:szCs w:val="22"/>
        </w:rPr>
        <w:t>6</w:t>
      </w:r>
      <w:r w:rsidRPr="00DA797F">
        <w:rPr>
          <w:sz w:val="22"/>
          <w:szCs w:val="22"/>
        </w:rPr>
        <w:t>,</w:t>
      </w:r>
      <w:r w:rsidR="00BD2221">
        <w:rPr>
          <w:sz w:val="22"/>
          <w:szCs w:val="22"/>
        </w:rPr>
        <w:t>7</w:t>
      </w:r>
      <w:r w:rsidRPr="00DA797F">
        <w:rPr>
          <w:sz w:val="22"/>
          <w:szCs w:val="22"/>
        </w:rPr>
        <w:t xml:space="preserve"> por ciento respecto de igual mes del año anterior, por el incremento en el  desembarque para congelado (</w:t>
      </w:r>
      <w:r w:rsidR="00BD2221">
        <w:rPr>
          <w:sz w:val="22"/>
          <w:szCs w:val="22"/>
        </w:rPr>
        <w:t>44,4</w:t>
      </w:r>
      <w:r w:rsidRPr="00DA797F">
        <w:rPr>
          <w:sz w:val="22"/>
          <w:szCs w:val="22"/>
        </w:rPr>
        <w:t xml:space="preserve"> por ciento)</w:t>
      </w:r>
      <w:r w:rsidR="00BD2221">
        <w:rPr>
          <w:sz w:val="22"/>
          <w:szCs w:val="22"/>
        </w:rPr>
        <w:t>, enlatado (9,7 por ciento)</w:t>
      </w:r>
      <w:r w:rsidRPr="00DA797F">
        <w:rPr>
          <w:sz w:val="22"/>
          <w:szCs w:val="22"/>
        </w:rPr>
        <w:t xml:space="preserve"> y fresco (</w:t>
      </w:r>
      <w:r w:rsidR="00BD2221">
        <w:rPr>
          <w:sz w:val="22"/>
          <w:szCs w:val="22"/>
        </w:rPr>
        <w:t>1</w:t>
      </w:r>
      <w:r w:rsidRPr="00DA797F">
        <w:rPr>
          <w:sz w:val="22"/>
          <w:szCs w:val="22"/>
        </w:rPr>
        <w:t>6,</w:t>
      </w:r>
      <w:r w:rsidR="00BD2221">
        <w:rPr>
          <w:sz w:val="22"/>
          <w:szCs w:val="22"/>
        </w:rPr>
        <w:t>4</w:t>
      </w:r>
      <w:r w:rsidRPr="00DA797F">
        <w:rPr>
          <w:sz w:val="22"/>
          <w:szCs w:val="22"/>
        </w:rPr>
        <w:t xml:space="preserve"> por ciento)</w:t>
      </w:r>
      <w:r w:rsidR="00BD2221">
        <w:rPr>
          <w:sz w:val="22"/>
          <w:szCs w:val="22"/>
        </w:rPr>
        <w:t xml:space="preserve">. En contraste, se contrajo la extracción de anchoveta para harina (-88,1 por ciento); al respecto, cabe señalar que, pese al levantamiento de la veda de esta especie a partir del 20 de noviembre, se tuvo que restablecer la suspensión de pesca </w:t>
      </w:r>
      <w:r w:rsidR="00BD2221">
        <w:rPr>
          <w:sz w:val="22"/>
          <w:szCs w:val="22"/>
        </w:rPr>
        <w:lastRenderedPageBreak/>
        <w:t xml:space="preserve">durante los primeros 20 días de diciembre, al detectarse una alta incidencia de ejemplares juveniles. </w:t>
      </w:r>
    </w:p>
    <w:p w:rsidR="00BD2221" w:rsidRDefault="00BD2221" w:rsidP="00BD2221">
      <w:pPr>
        <w:rPr>
          <w:sz w:val="22"/>
          <w:szCs w:val="22"/>
        </w:rPr>
      </w:pPr>
    </w:p>
    <w:p w:rsidR="00BD2221" w:rsidRPr="00DA797F" w:rsidRDefault="00BD2221" w:rsidP="00BD2221">
      <w:pPr>
        <w:rPr>
          <w:sz w:val="22"/>
          <w:szCs w:val="22"/>
        </w:rPr>
      </w:pPr>
      <w:r>
        <w:rPr>
          <w:sz w:val="22"/>
          <w:szCs w:val="22"/>
        </w:rPr>
        <w:t xml:space="preserve">En el año 2012, el sector creció en 8,5 por ciento con relación al año previo, básicamente por el dinamismo de la pesca para congelado, habida cuenta de la disponibilidad de pota. </w:t>
      </w:r>
    </w:p>
    <w:p w:rsidR="00273656" w:rsidRPr="00DA797F" w:rsidRDefault="00273656" w:rsidP="00273656">
      <w:pPr>
        <w:rPr>
          <w:sz w:val="22"/>
          <w:szCs w:val="22"/>
        </w:rPr>
      </w:pPr>
    </w:p>
    <w:p w:rsidR="00273656" w:rsidRDefault="00273656" w:rsidP="00273656">
      <w:pPr>
        <w:rPr>
          <w:sz w:val="22"/>
        </w:rPr>
        <w:sectPr w:rsidR="00273656" w:rsidSect="00273656">
          <w:type w:val="continuous"/>
          <w:pgSz w:w="11907" w:h="16840" w:code="9"/>
          <w:pgMar w:top="1701" w:right="1418" w:bottom="1418" w:left="1701" w:header="1134" w:footer="1134" w:gutter="0"/>
          <w:paperSrc w:first="15"/>
          <w:cols w:num="2" w:space="709"/>
          <w:titlePg/>
        </w:sectPr>
      </w:pPr>
    </w:p>
    <w:p w:rsidR="00273656" w:rsidRPr="00C861E7" w:rsidRDefault="00273656" w:rsidP="00273656">
      <w:pPr>
        <w:rPr>
          <w:sz w:val="22"/>
        </w:rPr>
      </w:pPr>
    </w:p>
    <w:p w:rsidR="0043337B" w:rsidRDefault="0043337B" w:rsidP="0043337B">
      <w:pPr>
        <w:rPr>
          <w:sz w:val="22"/>
        </w:rPr>
      </w:pPr>
    </w:p>
    <w:p w:rsidR="0043337B" w:rsidRDefault="0043337B" w:rsidP="0043337B">
      <w:pPr>
        <w:rPr>
          <w:sz w:val="22"/>
        </w:rPr>
        <w:sectPr w:rsidR="0043337B" w:rsidSect="0043337B">
          <w:type w:val="continuous"/>
          <w:pgSz w:w="11907" w:h="16840" w:code="9"/>
          <w:pgMar w:top="1701" w:right="1418" w:bottom="1418" w:left="1701" w:header="1134" w:footer="1134" w:gutter="0"/>
          <w:paperSrc w:first="15"/>
          <w:cols w:num="2" w:space="709"/>
          <w:titlePg/>
        </w:sectPr>
      </w:pPr>
    </w:p>
    <w:p w:rsidR="0043337B" w:rsidRDefault="0043337B" w:rsidP="0043337B">
      <w:pPr>
        <w:rPr>
          <w:sz w:val="22"/>
        </w:rPr>
      </w:pPr>
    </w:p>
    <w:p w:rsidR="0043337B" w:rsidRDefault="0043337B" w:rsidP="0043337B">
      <w:pPr>
        <w:rPr>
          <w:sz w:val="22"/>
        </w:rPr>
      </w:pPr>
    </w:p>
    <w:p w:rsidR="008D432F" w:rsidRDefault="0032253C" w:rsidP="00E50D75">
      <w:pPr>
        <w:jc w:val="center"/>
        <w:rPr>
          <w:b/>
        </w:rPr>
      </w:pPr>
      <w:r w:rsidRPr="00D63A80">
        <w:rPr>
          <w:b/>
        </w:rPr>
        <w:object w:dxaOrig="8111" w:dyaOrig="4798">
          <v:shape id="_x0000_i1037" type="#_x0000_t75" style="width:405.75pt;height:240pt" o:ole="">
            <v:imagedata r:id="rId53" o:title=""/>
          </v:shape>
          <o:OLEObject Type="Embed" ProgID="Excel.Sheet.8" ShapeID="_x0000_i1037" DrawAspect="Content" ObjectID="_1423063374" r:id="rId54"/>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BD2221" w:rsidRDefault="00BD2221" w:rsidP="00E50D75">
      <w:pPr>
        <w:rPr>
          <w:b/>
        </w:rPr>
      </w:pPr>
    </w:p>
    <w:p w:rsidR="00BD2221" w:rsidRDefault="00BD2221" w:rsidP="00E50D75">
      <w:pPr>
        <w:rPr>
          <w:b/>
        </w:rPr>
      </w:pPr>
    </w:p>
    <w:p w:rsidR="00BD2221" w:rsidRDefault="00BD2221" w:rsidP="00E50D75">
      <w:pPr>
        <w:rPr>
          <w:b/>
        </w:rPr>
      </w:pPr>
    </w:p>
    <w:p w:rsidR="00BD2221" w:rsidRDefault="00BD2221" w:rsidP="00E50D75">
      <w:pPr>
        <w:rPr>
          <w:b/>
        </w:rPr>
      </w:pPr>
    </w:p>
    <w:p w:rsidR="00BD2221" w:rsidRDefault="00BD2221"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E50D75" w:rsidRDefault="00DC1AE9" w:rsidP="001E1479">
      <w:pPr>
        <w:rPr>
          <w:b/>
        </w:rPr>
      </w:pPr>
      <w:r w:rsidRPr="004A0D85">
        <w:rPr>
          <w:b/>
        </w:rPr>
        <w:lastRenderedPageBreak/>
        <w:t>1</w:t>
      </w:r>
      <w:r w:rsidR="00E50D75" w:rsidRPr="004A0D85">
        <w:rPr>
          <w:b/>
        </w:rPr>
        <w:t>.1.3 Hidrocarburos</w:t>
      </w:r>
    </w:p>
    <w:p w:rsidR="0043337B" w:rsidRDefault="0043337B" w:rsidP="001E1479">
      <w:pPr>
        <w:rPr>
          <w:b/>
        </w:rPr>
      </w:pP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55"/>
          <w:footerReference w:type="default" r:id="rId56"/>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1D217F">
        <w:rPr>
          <w:rFonts w:ascii="Times New Roman" w:hAnsi="Times New Roman"/>
          <w:lang w:val="es-ES"/>
        </w:rPr>
        <w:t>dic</w:t>
      </w:r>
      <w:r w:rsidR="00F54C3D">
        <w:rPr>
          <w:rFonts w:ascii="Times New Roman" w:hAnsi="Times New Roman"/>
          <w:lang w:val="es-ES"/>
        </w:rPr>
        <w:t>iem</w:t>
      </w:r>
      <w:r w:rsidR="007B2C84">
        <w:rPr>
          <w:rFonts w:ascii="Times New Roman" w:hAnsi="Times New Roman"/>
          <w:lang w:val="es-ES"/>
        </w:rPr>
        <w:t>bre</w:t>
      </w:r>
      <w:r>
        <w:rPr>
          <w:rFonts w:ascii="Times New Roman" w:hAnsi="Times New Roman"/>
          <w:lang w:val="es-ES"/>
        </w:rPr>
        <w:t xml:space="preserve">, la producción de hidrocarburos </w:t>
      </w:r>
      <w:r w:rsidR="00D73E35">
        <w:rPr>
          <w:rFonts w:ascii="Times New Roman" w:hAnsi="Times New Roman"/>
          <w:lang w:val="es-ES"/>
        </w:rPr>
        <w:t xml:space="preserve">se contrajo en </w:t>
      </w:r>
      <w:r w:rsidR="001D217F">
        <w:rPr>
          <w:rFonts w:ascii="Times New Roman" w:hAnsi="Times New Roman"/>
          <w:lang w:val="es-ES"/>
        </w:rPr>
        <w:t>8</w:t>
      </w:r>
      <w:r w:rsidR="00D73E35">
        <w:rPr>
          <w:rFonts w:ascii="Times New Roman" w:hAnsi="Times New Roman"/>
          <w:lang w:val="es-ES"/>
        </w:rPr>
        <w:t>,</w:t>
      </w:r>
      <w:r w:rsidR="00F54C3D">
        <w:rPr>
          <w:rFonts w:ascii="Times New Roman" w:hAnsi="Times New Roman"/>
          <w:lang w:val="es-ES"/>
        </w:rPr>
        <w:t>3</w:t>
      </w:r>
      <w:r w:rsidR="00D73E35">
        <w:rPr>
          <w:rFonts w:ascii="Times New Roman" w:hAnsi="Times New Roman"/>
          <w:lang w:val="es-ES"/>
        </w:rPr>
        <w:t xml:space="preserve"> por ciento respecto a </w:t>
      </w:r>
      <w:r>
        <w:rPr>
          <w:rFonts w:ascii="Times New Roman" w:hAnsi="Times New Roman"/>
          <w:lang w:val="es-ES"/>
        </w:rPr>
        <w:t xml:space="preserve">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xml:space="preserve">. </w:t>
      </w:r>
      <w:r w:rsidR="00D73E35">
        <w:rPr>
          <w:rFonts w:ascii="Times New Roman" w:hAnsi="Times New Roman"/>
          <w:lang w:val="es-ES"/>
        </w:rPr>
        <w:t>Esto obedeció a la caída de la extracción de gas natural (-</w:t>
      </w:r>
      <w:r w:rsidR="00F54C3D">
        <w:rPr>
          <w:rFonts w:ascii="Times New Roman" w:hAnsi="Times New Roman"/>
          <w:lang w:val="es-ES"/>
        </w:rPr>
        <w:t>3</w:t>
      </w:r>
      <w:r w:rsidR="001D217F">
        <w:rPr>
          <w:rFonts w:ascii="Times New Roman" w:hAnsi="Times New Roman"/>
          <w:lang w:val="es-ES"/>
        </w:rPr>
        <w:t>8</w:t>
      </w:r>
      <w:r w:rsidR="00D73E35">
        <w:rPr>
          <w:rFonts w:ascii="Times New Roman" w:hAnsi="Times New Roman"/>
          <w:lang w:val="es-ES"/>
        </w:rPr>
        <w:t>,</w:t>
      </w:r>
      <w:r w:rsidR="001D217F">
        <w:rPr>
          <w:rFonts w:ascii="Times New Roman" w:hAnsi="Times New Roman"/>
          <w:lang w:val="es-ES"/>
        </w:rPr>
        <w:t>3</w:t>
      </w:r>
      <w:r w:rsidR="00D73E35">
        <w:rPr>
          <w:rFonts w:ascii="Times New Roman" w:hAnsi="Times New Roman"/>
          <w:lang w:val="es-ES"/>
        </w:rPr>
        <w:t xml:space="preserve"> </w:t>
      </w:r>
      <w:r w:rsidR="00D73E35">
        <w:rPr>
          <w:rFonts w:ascii="Times New Roman" w:hAnsi="Times New Roman"/>
          <w:lang w:val="es-ES"/>
        </w:rPr>
        <w:lastRenderedPageBreak/>
        <w:t>por ciento) y petróleo (-</w:t>
      </w:r>
      <w:r w:rsidR="001D217F">
        <w:rPr>
          <w:rFonts w:ascii="Times New Roman" w:hAnsi="Times New Roman"/>
          <w:lang w:val="es-ES"/>
        </w:rPr>
        <w:t>5</w:t>
      </w:r>
      <w:r w:rsidR="00D73E35">
        <w:rPr>
          <w:rFonts w:ascii="Times New Roman" w:hAnsi="Times New Roman"/>
          <w:lang w:val="es-ES"/>
        </w:rPr>
        <w:t>,</w:t>
      </w:r>
      <w:r w:rsidR="001D217F">
        <w:rPr>
          <w:rFonts w:ascii="Times New Roman" w:hAnsi="Times New Roman"/>
          <w:lang w:val="es-ES"/>
        </w:rPr>
        <w:t>8</w:t>
      </w:r>
      <w:r w:rsidR="00D73E35">
        <w:rPr>
          <w:rFonts w:ascii="Times New Roman" w:hAnsi="Times New Roman"/>
          <w:lang w:val="es-ES"/>
        </w:rPr>
        <w:t xml:space="preserve"> por ciento). </w:t>
      </w:r>
      <w:r w:rsidR="00F84B8A">
        <w:rPr>
          <w:rFonts w:ascii="Times New Roman" w:hAnsi="Times New Roman"/>
          <w:lang w:val="es-ES"/>
        </w:rPr>
        <w:t xml:space="preserve">En el </w:t>
      </w:r>
      <w:r w:rsidR="001D217F">
        <w:rPr>
          <w:rFonts w:ascii="Times New Roman" w:hAnsi="Times New Roman"/>
          <w:lang w:val="es-ES"/>
        </w:rPr>
        <w:t>año 2012</w:t>
      </w:r>
      <w:r w:rsidR="00F84B8A">
        <w:rPr>
          <w:rFonts w:ascii="Times New Roman" w:hAnsi="Times New Roman"/>
          <w:lang w:val="es-ES"/>
        </w:rPr>
        <w:t xml:space="preserve">, el </w:t>
      </w:r>
      <w:r w:rsidR="00F54C3D">
        <w:rPr>
          <w:rFonts w:ascii="Times New Roman" w:hAnsi="Times New Roman"/>
          <w:lang w:val="es-ES"/>
        </w:rPr>
        <w:t>de</w:t>
      </w:r>
      <w:r w:rsidR="00F84B8A">
        <w:rPr>
          <w:rFonts w:ascii="Times New Roman" w:hAnsi="Times New Roman"/>
          <w:lang w:val="es-ES"/>
        </w:rPr>
        <w:t xml:space="preserve">crecimiento sectorial fue del </w:t>
      </w:r>
      <w:r w:rsidR="00FC4A77">
        <w:rPr>
          <w:rFonts w:ascii="Times New Roman" w:hAnsi="Times New Roman"/>
          <w:lang w:val="es-ES"/>
        </w:rPr>
        <w:t>0</w:t>
      </w:r>
      <w:r w:rsidR="00F84B8A">
        <w:rPr>
          <w:rFonts w:ascii="Times New Roman" w:hAnsi="Times New Roman"/>
          <w:lang w:val="es-ES"/>
        </w:rPr>
        <w:t>,</w:t>
      </w:r>
      <w:r w:rsidR="001D217F">
        <w:rPr>
          <w:rFonts w:ascii="Times New Roman" w:hAnsi="Times New Roman"/>
          <w:lang w:val="es-ES"/>
        </w:rPr>
        <w:t>9</w:t>
      </w:r>
      <w:r w:rsidR="00F84B8A">
        <w:rPr>
          <w:rFonts w:ascii="Times New Roman" w:hAnsi="Times New Roman"/>
          <w:lang w:val="es-ES"/>
        </w:rPr>
        <w:t xml:space="preserve"> por ciento</w:t>
      </w:r>
      <w:r w:rsidR="004575E6">
        <w:rPr>
          <w:rFonts w:ascii="Times New Roman" w:hAnsi="Times New Roman"/>
          <w:lang w:val="es-ES"/>
        </w:rPr>
        <w:t xml:space="preserve"> con relación </w:t>
      </w:r>
      <w:r w:rsidR="001D217F">
        <w:rPr>
          <w:rFonts w:ascii="Times New Roman" w:hAnsi="Times New Roman"/>
          <w:lang w:val="es-ES"/>
        </w:rPr>
        <w:t>al</w:t>
      </w:r>
      <w:r w:rsidR="004575E6">
        <w:rPr>
          <w:rFonts w:ascii="Times New Roman" w:hAnsi="Times New Roman"/>
          <w:lang w:val="es-ES"/>
        </w:rPr>
        <w:t xml:space="preserve"> año </w:t>
      </w:r>
      <w:r w:rsidR="000E473F">
        <w:rPr>
          <w:rFonts w:ascii="Times New Roman" w:hAnsi="Times New Roman"/>
          <w:lang w:val="es-ES"/>
        </w:rPr>
        <w:t>previo</w:t>
      </w:r>
      <w:r w:rsidR="00F84B8A">
        <w:rPr>
          <w:rFonts w:ascii="Times New Roman" w:hAnsi="Times New Roman"/>
          <w:lang w:val="es-ES"/>
        </w:rPr>
        <w:t>.</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122A01"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941A7F">
        <w:rPr>
          <w:rFonts w:ascii="Times New Roman" w:hAnsi="Times New Roman"/>
          <w:color w:val="FF0000"/>
          <w:lang w:val="es-ES"/>
        </w:rPr>
        <w:object w:dxaOrig="8941" w:dyaOrig="5780">
          <v:shape id="_x0000_i1038" type="#_x0000_t75" style="width:438pt;height:282.75pt" o:ole="">
            <v:imagedata r:id="rId57" o:title=""/>
          </v:shape>
          <o:OLEObject Type="Embed" ProgID="Excel.Sheet.8" ShapeID="_x0000_i1038" DrawAspect="Content" ObjectID="_1423063375" r:id="rId58"/>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D63A80">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76.95pt;margin-top:3.15pt;width:314.2pt;height:219.65pt;z-index:251753984" fillcolor="#4f81bd">
            <v:imagedata r:id="rId59" o:title=""/>
            <v:shadow color="#eeece1"/>
          </v:shape>
          <o:OLEObject Type="Embed" ProgID="Excel.Sheet.12" ShapeID="Object 7" DrawAspect="Content" ObjectID="_1423063404" r:id="rId60"/>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52557" w:rsidRPr="00B75D58" w:rsidRDefault="00852557">
      <w:pPr>
        <w:numPr>
          <w:ilvl w:val="2"/>
          <w:numId w:val="4"/>
        </w:numPr>
        <w:rPr>
          <w:b/>
        </w:rPr>
      </w:pPr>
      <w:r w:rsidRPr="00B75D58">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61"/>
          <w:footerReference w:type="default" r:id="rId62"/>
          <w:type w:val="continuous"/>
          <w:pgSz w:w="11906" w:h="16838"/>
          <w:pgMar w:top="1417" w:right="1701" w:bottom="1417" w:left="1701" w:header="720" w:footer="720" w:gutter="0"/>
          <w:cols w:space="720"/>
        </w:sectPr>
      </w:pPr>
    </w:p>
    <w:p w:rsidR="00852B45" w:rsidRDefault="00852B45" w:rsidP="00852B45">
      <w:pPr>
        <w:rPr>
          <w:sz w:val="22"/>
          <w:szCs w:val="22"/>
          <w:lang w:val="es-PE"/>
        </w:rPr>
      </w:pPr>
      <w:r>
        <w:rPr>
          <w:sz w:val="22"/>
          <w:szCs w:val="22"/>
          <w:lang w:val="es-PE"/>
        </w:rPr>
        <w:lastRenderedPageBreak/>
        <w:t xml:space="preserve">En diciembre, el sector industrial creció 23,2 por ciento respecto de análogo mes del año pasado. Esto obedeció a la expansión de los subsectores primario (23,9 por </w:t>
      </w:r>
      <w:r>
        <w:rPr>
          <w:sz w:val="22"/>
          <w:szCs w:val="22"/>
          <w:lang w:val="es-PE"/>
        </w:rPr>
        <w:lastRenderedPageBreak/>
        <w:t>ciento) y no primario (19,9 por ciento). En el año 2012, el crecimiento sectorial fue del 14,5 por ciento.</w:t>
      </w:r>
    </w:p>
    <w:p w:rsidR="00994744" w:rsidRDefault="00994744" w:rsidP="00C7315E">
      <w:pPr>
        <w:rPr>
          <w:sz w:val="22"/>
          <w:szCs w:val="22"/>
          <w:lang w:val="es-PE"/>
        </w:rPr>
        <w:sectPr w:rsidR="00994744" w:rsidSect="00994744">
          <w:type w:val="continuous"/>
          <w:pgSz w:w="11906" w:h="16838"/>
          <w:pgMar w:top="1417" w:right="1701" w:bottom="1417" w:left="1701" w:header="708" w:footer="708" w:gutter="0"/>
          <w:cols w:num="2" w:space="709"/>
          <w:docGrid w:linePitch="360"/>
        </w:sectPr>
      </w:pPr>
    </w:p>
    <w:p w:rsidR="00C7315E" w:rsidRDefault="00C7315E" w:rsidP="00C7315E">
      <w:pPr>
        <w:rPr>
          <w:sz w:val="22"/>
          <w:szCs w:val="22"/>
          <w:lang w:val="es-PE"/>
        </w:rPr>
      </w:pPr>
    </w:p>
    <w:p w:rsidR="00122A01" w:rsidRDefault="00122A01" w:rsidP="00C7315E">
      <w:pPr>
        <w:rPr>
          <w:sz w:val="22"/>
          <w:szCs w:val="22"/>
          <w:lang w:val="es-PE"/>
        </w:rPr>
      </w:pPr>
    </w:p>
    <w:p w:rsidR="00947BC8" w:rsidRDefault="00947BC8" w:rsidP="00947BC8">
      <w:pPr>
        <w:rPr>
          <w:sz w:val="22"/>
          <w:szCs w:val="22"/>
          <w:lang w:val="es-PE"/>
        </w:rPr>
      </w:pP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4E68B5" w:rsidRDefault="00852B45">
      <w:pPr>
        <w:jc w:val="center"/>
      </w:pPr>
      <w:r>
        <w:object w:dxaOrig="5666" w:dyaOrig="3078">
          <v:shape id="_x0000_i1039" type="#_x0000_t75" style="width:270pt;height:159pt" o:ole="">
            <v:imagedata r:id="rId63" o:title=""/>
            <o:lock v:ext="edit" aspectratio="f"/>
          </v:shape>
          <o:OLEObject Type="Embed" ProgID="Excel.Sheet.12" ShapeID="_x0000_i1039" DrawAspect="Content" ObjectID="_1423063376" r:id="rId64"/>
        </w:object>
      </w:r>
    </w:p>
    <w:p w:rsidR="00FE008F" w:rsidRDefault="00FE008F">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852B45" w:rsidRDefault="00852B45" w:rsidP="00852B45">
      <w:pPr>
        <w:rPr>
          <w:sz w:val="22"/>
          <w:szCs w:val="22"/>
          <w:lang w:val="es-PE"/>
        </w:rPr>
        <w:sectPr w:rsidR="00852B45" w:rsidSect="00F2504B">
          <w:type w:val="continuous"/>
          <w:pgSz w:w="11906" w:h="16838"/>
          <w:pgMar w:top="1417" w:right="1701" w:bottom="1417" w:left="1701" w:header="708" w:footer="708" w:gutter="0"/>
          <w:cols w:num="2" w:space="709"/>
          <w:docGrid w:linePitch="360"/>
        </w:sectPr>
      </w:pPr>
      <w:r>
        <w:rPr>
          <w:sz w:val="22"/>
          <w:szCs w:val="22"/>
          <w:lang w:val="es-PE"/>
        </w:rPr>
        <w:lastRenderedPageBreak/>
        <w:t xml:space="preserve">El desempeño positivo de la manufactura primaria radicó en la mayor disponibilidad de materia prima (especialmente, pota) para la producción de pescado congelado y </w:t>
      </w:r>
      <w:r>
        <w:rPr>
          <w:sz w:val="22"/>
          <w:szCs w:val="22"/>
          <w:lang w:val="es-PE"/>
        </w:rPr>
        <w:lastRenderedPageBreak/>
        <w:t>conservas de pescado. Asimismo, en la rama de refinación de petróleo, los incrementos más notables se registraron en los casos de gasolinas, GLP y turbo.</w:t>
      </w:r>
    </w:p>
    <w:p w:rsidR="0038767D" w:rsidRDefault="0038767D" w:rsidP="001258A0">
      <w:pPr>
        <w:rPr>
          <w:sz w:val="22"/>
          <w:szCs w:val="22"/>
          <w:lang w:val="es-PE"/>
        </w:rPr>
      </w:pPr>
    </w:p>
    <w:p w:rsidR="00C7315E" w:rsidRDefault="00C7315E" w:rsidP="00C7315E">
      <w:pPr>
        <w:rPr>
          <w:sz w:val="22"/>
          <w:szCs w:val="22"/>
          <w:lang w:val="es-PE"/>
        </w:rPr>
        <w:sectPr w:rsidR="00C7315E" w:rsidSect="00961490">
          <w:type w:val="continuous"/>
          <w:pgSz w:w="11906" w:h="16838"/>
          <w:pgMar w:top="1417" w:right="1701" w:bottom="1417" w:left="1701" w:header="708" w:footer="708" w:gutter="0"/>
          <w:cols w:num="2" w:space="709"/>
          <w:docGrid w:linePitch="360"/>
        </w:sectPr>
      </w:pPr>
    </w:p>
    <w:p w:rsidR="00A769FE" w:rsidRDefault="00FC66B9" w:rsidP="00985ACD">
      <w:pPr>
        <w:rPr>
          <w:sz w:val="22"/>
          <w:szCs w:val="22"/>
        </w:rPr>
      </w:pPr>
      <w:r>
        <w:rPr>
          <w:sz w:val="22"/>
          <w:szCs w:val="22"/>
        </w:rPr>
        <w:lastRenderedPageBreak/>
        <w:t xml:space="preserve"> </w:t>
      </w:r>
    </w:p>
    <w:p w:rsidR="00AE15A1" w:rsidRDefault="00AE15A1" w:rsidP="00985ACD">
      <w:pPr>
        <w:rPr>
          <w:sz w:val="22"/>
          <w:szCs w:val="22"/>
        </w:rPr>
      </w:pPr>
    </w:p>
    <w:p w:rsidR="00AE15A1" w:rsidRDefault="00AE15A1" w:rsidP="00985ACD">
      <w:pPr>
        <w:sectPr w:rsidR="00AE15A1" w:rsidSect="000746D5">
          <w:type w:val="continuous"/>
          <w:pgSz w:w="11906" w:h="16838"/>
          <w:pgMar w:top="1417" w:right="1701" w:bottom="1417" w:left="1701" w:header="708" w:footer="708" w:gutter="0"/>
          <w:cols w:num="2" w:space="709"/>
          <w:docGrid w:linePitch="360"/>
        </w:sectPr>
      </w:pPr>
    </w:p>
    <w:p w:rsidR="00FE008F" w:rsidRDefault="00852B45" w:rsidP="00A769FE">
      <w:pPr>
        <w:jc w:val="center"/>
        <w:sectPr w:rsidR="00FE008F" w:rsidSect="00FE008F">
          <w:type w:val="continuous"/>
          <w:pgSz w:w="11906" w:h="16838"/>
          <w:pgMar w:top="1417" w:right="1701" w:bottom="180" w:left="1701" w:header="708" w:footer="708" w:gutter="0"/>
          <w:cols w:space="720"/>
          <w:docGrid w:linePitch="360"/>
        </w:sectPr>
      </w:pPr>
      <w:r>
        <w:object w:dxaOrig="8799" w:dyaOrig="5113">
          <v:shape id="_x0000_i1040" type="#_x0000_t75" style="width:418.5pt;height:263.25pt" o:ole="">
            <v:imagedata r:id="rId65" o:title=""/>
            <o:lock v:ext="edit" aspectratio="f"/>
          </v:shape>
          <o:OLEObject Type="Embed" ProgID="Excel.Sheet.12" ShapeID="_x0000_i1040" DrawAspect="Content" ObjectID="_1423063377" r:id="rId66"/>
        </w:object>
      </w:r>
    </w:p>
    <w:p w:rsidR="00A769FE" w:rsidRDefault="00A769FE"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9D0153" w:rsidRDefault="009D0153" w:rsidP="00A769FE">
      <w:pPr>
        <w:jc w:val="center"/>
      </w:pPr>
    </w:p>
    <w:p w:rsidR="009D0153" w:rsidRDefault="009D0153" w:rsidP="00A769FE">
      <w:pPr>
        <w:jc w:val="center"/>
      </w:pPr>
    </w:p>
    <w:p w:rsidR="00FE008F" w:rsidRDefault="00FE008F" w:rsidP="00A769FE">
      <w:pPr>
        <w:jc w:val="center"/>
      </w:pPr>
    </w:p>
    <w:p w:rsidR="00FE008F" w:rsidRDefault="00FE008F" w:rsidP="00A769FE">
      <w:pPr>
        <w:jc w:val="center"/>
      </w:pPr>
    </w:p>
    <w:p w:rsidR="00FE008F" w:rsidRDefault="00FE008F" w:rsidP="00A769FE">
      <w:pPr>
        <w:jc w:val="center"/>
      </w:pPr>
    </w:p>
    <w:p w:rsidR="00852B45" w:rsidRDefault="00852B45" w:rsidP="00A769FE">
      <w:pPr>
        <w:jc w:val="center"/>
      </w:pPr>
    </w:p>
    <w:p w:rsidR="00852B45" w:rsidRDefault="00852B45" w:rsidP="00A769FE">
      <w:pPr>
        <w:jc w:val="center"/>
      </w:pPr>
    </w:p>
    <w:p w:rsidR="003402DD" w:rsidRDefault="003402DD" w:rsidP="00FE008F">
      <w:pPr>
        <w:rPr>
          <w:sz w:val="22"/>
          <w:szCs w:val="22"/>
        </w:rPr>
        <w:sectPr w:rsidR="003402DD" w:rsidSect="00171E51">
          <w:type w:val="continuous"/>
          <w:pgSz w:w="11906" w:h="16838"/>
          <w:pgMar w:top="1417" w:right="1701" w:bottom="180" w:left="1701" w:header="708" w:footer="708" w:gutter="0"/>
          <w:cols w:num="2" w:space="720"/>
          <w:docGrid w:linePitch="360"/>
        </w:sectPr>
      </w:pPr>
    </w:p>
    <w:p w:rsidR="003402DD" w:rsidRDefault="00852B45" w:rsidP="00FE008F">
      <w:pPr>
        <w:rPr>
          <w:sz w:val="22"/>
          <w:szCs w:val="22"/>
        </w:rPr>
      </w:pPr>
      <w:r w:rsidRPr="003402DD">
        <w:rPr>
          <w:sz w:val="22"/>
          <w:szCs w:val="22"/>
        </w:rPr>
        <w:lastRenderedPageBreak/>
        <w:t xml:space="preserve">De otro lado, el comportamiento favorable de la manufactura no primaria obedeció a la expansión en la producción de oleína (170,9 por ciento) y harina de trigo (4,0 por ciento). No obstante, pese al modesto crecimiento de la rama de hilados de </w:t>
      </w:r>
      <w:r w:rsidRPr="003402DD">
        <w:rPr>
          <w:sz w:val="22"/>
          <w:szCs w:val="22"/>
        </w:rPr>
        <w:lastRenderedPageBreak/>
        <w:t>algodón, esto marca un punto de quiebre respecto de meses previos, cuando se observó un desempeño negativo; esto sería un indicador de la paulatina recuperación de los mercados externos y, en particular, de Italia, Brasil y Tailandia.</w:t>
      </w:r>
    </w:p>
    <w:p w:rsidR="003402DD" w:rsidRDefault="003402DD" w:rsidP="00FE008F">
      <w:pPr>
        <w:rPr>
          <w:sz w:val="22"/>
          <w:szCs w:val="22"/>
        </w:rPr>
        <w:sectPr w:rsidR="003402DD" w:rsidSect="003402DD">
          <w:type w:val="continuous"/>
          <w:pgSz w:w="11906" w:h="16838"/>
          <w:pgMar w:top="1417" w:right="1701" w:bottom="180" w:left="1701" w:header="708" w:footer="708" w:gutter="0"/>
          <w:cols w:num="2" w:space="720"/>
          <w:docGrid w:linePitch="360"/>
        </w:sectPr>
      </w:pPr>
    </w:p>
    <w:p w:rsidR="003402DD" w:rsidRDefault="00852B45" w:rsidP="00FE008F">
      <w:pPr>
        <w:rPr>
          <w:sz w:val="22"/>
          <w:szCs w:val="22"/>
        </w:rPr>
      </w:pPr>
      <w:r w:rsidRPr="003402DD">
        <w:rPr>
          <w:sz w:val="22"/>
          <w:szCs w:val="22"/>
        </w:rPr>
        <w:lastRenderedPageBreak/>
        <w:t xml:space="preserve"> </w:t>
      </w:r>
    </w:p>
    <w:p w:rsidR="00FE008F" w:rsidRPr="003402DD" w:rsidRDefault="00852B45" w:rsidP="00FE008F">
      <w:pPr>
        <w:rPr>
          <w:sz w:val="22"/>
          <w:szCs w:val="22"/>
        </w:rPr>
        <w:sectPr w:rsidR="00FE008F" w:rsidRPr="003402DD" w:rsidSect="00171E51">
          <w:type w:val="continuous"/>
          <w:pgSz w:w="11906" w:h="16838"/>
          <w:pgMar w:top="1417" w:right="1701" w:bottom="180" w:left="1701" w:header="708" w:footer="708" w:gutter="0"/>
          <w:cols w:num="2" w:space="720"/>
          <w:docGrid w:linePitch="360"/>
        </w:sectPr>
      </w:pPr>
      <w:r w:rsidRPr="003402DD">
        <w:rPr>
          <w:sz w:val="22"/>
          <w:szCs w:val="22"/>
        </w:rPr>
        <w:lastRenderedPageBreak/>
        <w:t xml:space="preserve"> </w:t>
      </w:r>
    </w:p>
    <w:p w:rsidR="00FE008F" w:rsidRDefault="00FE008F" w:rsidP="00A769FE">
      <w:pPr>
        <w:jc w:val="center"/>
      </w:pPr>
    </w:p>
    <w:p w:rsidR="00FE008F" w:rsidRDefault="00FE008F" w:rsidP="00A769FE">
      <w:pPr>
        <w:jc w:val="center"/>
      </w:pPr>
    </w:p>
    <w:p w:rsidR="00FE008F" w:rsidRDefault="00FE008F" w:rsidP="00A769FE">
      <w:pPr>
        <w:jc w:val="center"/>
      </w:pPr>
    </w:p>
    <w:p w:rsidR="00C76606" w:rsidRDefault="00C76606" w:rsidP="00994744">
      <w:pPr>
        <w:rPr>
          <w:sz w:val="22"/>
          <w:szCs w:val="22"/>
          <w:lang w:val="es-PE"/>
        </w:rPr>
        <w:sectPr w:rsidR="00C76606" w:rsidSect="00FE008F">
          <w:type w:val="continuous"/>
          <w:pgSz w:w="11906" w:h="16838"/>
          <w:pgMar w:top="1417" w:right="1701" w:bottom="180" w:left="1701" w:header="708" w:footer="708" w:gutter="0"/>
          <w:cols w:num="2" w:space="720"/>
          <w:docGrid w:linePitch="360"/>
        </w:sectPr>
      </w:pPr>
    </w:p>
    <w:p w:rsidR="00483779" w:rsidRDefault="00057F69" w:rsidP="008315D0">
      <w:pPr>
        <w:rPr>
          <w:sz w:val="22"/>
          <w:szCs w:val="22"/>
          <w:lang w:val="es-PE"/>
        </w:rPr>
      </w:pPr>
      <w:r>
        <w:rPr>
          <w:sz w:val="22"/>
          <w:szCs w:val="22"/>
        </w:rPr>
        <w:lastRenderedPageBreak/>
        <w:t xml:space="preserve"> </w:t>
      </w:r>
      <w:r w:rsidR="00852B45" w:rsidRPr="00D63A80">
        <w:rPr>
          <w:sz w:val="22"/>
          <w:szCs w:val="22"/>
          <w:lang w:val="es-PE"/>
        </w:rPr>
        <w:object w:dxaOrig="8799" w:dyaOrig="5418">
          <v:shape id="_x0000_i1041" type="#_x0000_t75" style="width:418.5pt;height:279.75pt" o:ole="">
            <v:imagedata r:id="rId67" o:title=""/>
            <o:lock v:ext="edit" aspectratio="f"/>
          </v:shape>
          <o:OLEObject Type="Embed" ProgID="Excel.Sheet.12" ShapeID="_x0000_i1041" DrawAspect="Content" ObjectID="_1423063378" r:id="rId68"/>
        </w:object>
      </w:r>
    </w:p>
    <w:p w:rsidR="00AE15A1" w:rsidRDefault="00AE15A1" w:rsidP="00E625C1">
      <w:pPr>
        <w:rPr>
          <w:sz w:val="22"/>
          <w:szCs w:val="22"/>
          <w:lang w:val="es-PE"/>
        </w:rPr>
      </w:pPr>
    </w:p>
    <w:p w:rsidR="001C61F3" w:rsidRDefault="001C61F3" w:rsidP="00E625C1">
      <w:pPr>
        <w:rPr>
          <w:sz w:val="22"/>
          <w:szCs w:val="22"/>
          <w:lang w:val="es-PE"/>
        </w:rPr>
      </w:pPr>
    </w:p>
    <w:p w:rsidR="009F349E" w:rsidRDefault="009F349E" w:rsidP="00E625C1">
      <w:pPr>
        <w:rPr>
          <w:sz w:val="22"/>
          <w:szCs w:val="22"/>
          <w:lang w:val="es-PE"/>
        </w:rPr>
        <w:sectPr w:rsidR="009F349E" w:rsidSect="00483779">
          <w:type w:val="continuous"/>
          <w:pgSz w:w="11906" w:h="16838"/>
          <w:pgMar w:top="1417" w:right="1701" w:bottom="180" w:left="1701" w:header="708" w:footer="708" w:gutter="0"/>
          <w:cols w:space="720"/>
          <w:docGrid w:linePitch="360"/>
        </w:sectPr>
      </w:pPr>
    </w:p>
    <w:p w:rsidR="00D11646" w:rsidRDefault="00D11646" w:rsidP="00D11646">
      <w:r>
        <w:lastRenderedPageBreak/>
        <w:tab/>
      </w:r>
    </w:p>
    <w:p w:rsidR="00A769FE" w:rsidRPr="00FC18C8" w:rsidRDefault="00A769FE"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EB2A9C" w:rsidRDefault="00EB2A9C" w:rsidP="00F04DEC">
      <w:pPr>
        <w:pStyle w:val="Ttulo2"/>
        <w:ind w:left="0"/>
        <w:rPr>
          <w:rFonts w:ascii="Times New Roman" w:hAnsi="Times New Roman"/>
          <w:sz w:val="24"/>
          <w:szCs w:val="24"/>
        </w:rPr>
      </w:pPr>
    </w:p>
    <w:p w:rsidR="00F04DEC" w:rsidRPr="00143594" w:rsidRDefault="00F04DEC" w:rsidP="00F04DEC">
      <w:pPr>
        <w:pStyle w:val="Ttulo2"/>
        <w:ind w:left="0"/>
        <w:rPr>
          <w:rFonts w:ascii="Times New Roman" w:hAnsi="Times New Roman"/>
          <w:sz w:val="24"/>
          <w:szCs w:val="24"/>
        </w:rPr>
      </w:pPr>
      <w:r w:rsidRPr="00126EC3">
        <w:rPr>
          <w:rFonts w:ascii="Times New Roman" w:hAnsi="Times New Roman"/>
          <w:sz w:val="24"/>
          <w:szCs w:val="24"/>
        </w:rPr>
        <w:t>1.1.5 Construcción</w:t>
      </w:r>
    </w:p>
    <w:p w:rsidR="00F04DEC" w:rsidRDefault="00F04DEC" w:rsidP="00F04DEC"/>
    <w:p w:rsidR="00855C5D" w:rsidRPr="00143594" w:rsidRDefault="00855C5D" w:rsidP="00F04DEC">
      <w:pPr>
        <w:sectPr w:rsidR="00855C5D" w:rsidRPr="00143594">
          <w:type w:val="continuous"/>
          <w:pgSz w:w="11907" w:h="16840" w:code="9"/>
          <w:pgMar w:top="1701" w:right="1418" w:bottom="1418" w:left="1701" w:header="1134" w:footer="1134" w:gutter="0"/>
          <w:paperSrc w:first="15"/>
          <w:cols w:space="720"/>
          <w:titlePg/>
        </w:sectPr>
      </w:pPr>
    </w:p>
    <w:p w:rsidR="00855C5D" w:rsidRDefault="00855C5D" w:rsidP="00855C5D">
      <w:pPr>
        <w:rPr>
          <w:sz w:val="22"/>
          <w:szCs w:val="22"/>
        </w:rPr>
      </w:pPr>
      <w:r>
        <w:rPr>
          <w:sz w:val="22"/>
        </w:rPr>
        <w:lastRenderedPageBreak/>
        <w:t>En diciembre, el</w:t>
      </w:r>
      <w:r>
        <w:rPr>
          <w:b/>
          <w:bCs/>
          <w:sz w:val="22"/>
        </w:rPr>
        <w:t xml:space="preserve"> sector de construcción, </w:t>
      </w:r>
      <w:r>
        <w:rPr>
          <w:sz w:val="22"/>
        </w:rPr>
        <w:t>medido a través del despacho de cemento, de</w:t>
      </w:r>
      <w:r w:rsidRPr="00EA2ACB">
        <w:rPr>
          <w:sz w:val="22"/>
        </w:rPr>
        <w:t>c</w:t>
      </w:r>
      <w:r>
        <w:rPr>
          <w:sz w:val="22"/>
        </w:rPr>
        <w:t>reció</w:t>
      </w:r>
      <w:r w:rsidRPr="00EA2ACB">
        <w:rPr>
          <w:sz w:val="22"/>
        </w:rPr>
        <w:t xml:space="preserve"> </w:t>
      </w:r>
      <w:r>
        <w:rPr>
          <w:sz w:val="22"/>
        </w:rPr>
        <w:t xml:space="preserve">en 7,8 </w:t>
      </w:r>
      <w:r w:rsidRPr="00EA2ACB">
        <w:rPr>
          <w:sz w:val="22"/>
        </w:rPr>
        <w:t>por ciento</w:t>
      </w:r>
      <w:r>
        <w:rPr>
          <w:sz w:val="22"/>
        </w:rPr>
        <w:t xml:space="preserve"> respecto de igual </w:t>
      </w:r>
      <w:r>
        <w:rPr>
          <w:sz w:val="22"/>
        </w:rPr>
        <w:lastRenderedPageBreak/>
        <w:t xml:space="preserve">mes del año anterior. En </w:t>
      </w:r>
      <w:r>
        <w:rPr>
          <w:sz w:val="22"/>
          <w:szCs w:val="22"/>
        </w:rPr>
        <w:t>el año 2012, el crecimiento sectorial fue de 10,6 por ciento.</w:t>
      </w:r>
    </w:p>
    <w:p w:rsidR="00855C5D" w:rsidRDefault="00855C5D" w:rsidP="00855C5D">
      <w:pPr>
        <w:rPr>
          <w:sz w:val="22"/>
        </w:rPr>
      </w:pPr>
    </w:p>
    <w:p w:rsidR="00855C5D" w:rsidRDefault="00855C5D" w:rsidP="00855C5D">
      <w:pPr>
        <w:ind w:firstLine="567"/>
        <w:rPr>
          <w:sz w:val="22"/>
        </w:rPr>
        <w:sectPr w:rsidR="00855C5D">
          <w:type w:val="continuous"/>
          <w:pgSz w:w="11907" w:h="16840" w:code="9"/>
          <w:pgMar w:top="1701" w:right="1418" w:bottom="1418" w:left="1701" w:header="1134" w:footer="1134" w:gutter="0"/>
          <w:paperSrc w:first="15"/>
          <w:cols w:num="2" w:space="720" w:equalWidth="0">
            <w:col w:w="4040" w:space="708"/>
            <w:col w:w="4040"/>
          </w:cols>
          <w:titlePg/>
        </w:sectPr>
      </w:pPr>
    </w:p>
    <w:p w:rsidR="00855C5D" w:rsidRDefault="00855C5D" w:rsidP="00855C5D">
      <w:pPr>
        <w:ind w:firstLine="567"/>
        <w:rPr>
          <w:sz w:val="22"/>
        </w:rPr>
      </w:pPr>
    </w:p>
    <w:p w:rsidR="00122A01" w:rsidRDefault="00122A01" w:rsidP="00855C5D">
      <w:pPr>
        <w:ind w:firstLine="567"/>
        <w:rPr>
          <w:sz w:val="22"/>
        </w:rPr>
      </w:pPr>
    </w:p>
    <w:p w:rsidR="00122A01" w:rsidRDefault="00122A01" w:rsidP="00855C5D">
      <w:pPr>
        <w:ind w:firstLine="567"/>
        <w:rPr>
          <w:sz w:val="22"/>
        </w:rPr>
      </w:pPr>
    </w:p>
    <w:p w:rsidR="00122A01" w:rsidRDefault="00122A01" w:rsidP="00855C5D">
      <w:pPr>
        <w:ind w:firstLine="567"/>
        <w:rPr>
          <w:sz w:val="22"/>
        </w:rPr>
        <w:sectPr w:rsidR="00122A01">
          <w:type w:val="continuous"/>
          <w:pgSz w:w="11907" w:h="16840" w:code="9"/>
          <w:pgMar w:top="1701" w:right="1418" w:bottom="1418" w:left="1701" w:header="1134" w:footer="1134" w:gutter="0"/>
          <w:paperSrc w:first="15"/>
          <w:cols w:num="2" w:space="720" w:equalWidth="0">
            <w:col w:w="4040" w:space="708"/>
            <w:col w:w="4040"/>
          </w:cols>
          <w:titlePg/>
        </w:sectPr>
      </w:pPr>
    </w:p>
    <w:p w:rsidR="00855C5D" w:rsidRDefault="00855C5D" w:rsidP="00855C5D">
      <w:pPr>
        <w:jc w:val="center"/>
        <w:rPr>
          <w:color w:val="FF0000"/>
          <w:sz w:val="22"/>
        </w:rPr>
      </w:pPr>
      <w:r w:rsidRPr="00EB0090">
        <w:rPr>
          <w:color w:val="FF0000"/>
          <w:sz w:val="22"/>
        </w:rPr>
        <w:object w:dxaOrig="6791" w:dyaOrig="1990">
          <v:shape id="_x0000_i1042" type="#_x0000_t75" style="width:339.75pt;height:99.75pt" o:ole="">
            <v:imagedata r:id="rId69" o:title=""/>
          </v:shape>
          <o:OLEObject Type="Embed" ProgID="Excel.Sheet.12" ShapeID="_x0000_i1042" DrawAspect="Content" ObjectID="_1423063379" r:id="rId70"/>
        </w:object>
      </w:r>
    </w:p>
    <w:p w:rsidR="00F04DEC" w:rsidRDefault="00F04DEC" w:rsidP="00855C5D">
      <w:pPr>
        <w:ind w:firstLine="567"/>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126EC3">
        <w:rPr>
          <w:rFonts w:ascii="Times New Roman" w:hAnsi="Times New Roman"/>
          <w:sz w:val="24"/>
          <w:szCs w:val="24"/>
        </w:rPr>
        <w:t>1.1.6.</w:t>
      </w:r>
      <w:r w:rsidRPr="00126EC3">
        <w:rPr>
          <w:rFonts w:ascii="Times New Roman" w:hAnsi="Times New Roman"/>
          <w:sz w:val="24"/>
          <w:szCs w:val="24"/>
        </w:rPr>
        <w:tab/>
        <w:t>Electricidad y Agua</w:t>
      </w:r>
    </w:p>
    <w:p w:rsidR="00F04DEC" w:rsidRPr="00143594" w:rsidRDefault="00F04DEC" w:rsidP="00F04DEC">
      <w:pPr>
        <w:sectPr w:rsidR="00F04DEC" w:rsidRPr="00143594">
          <w:headerReference w:type="default" r:id="rId71"/>
          <w:footerReference w:type="default" r:id="rId72"/>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855C5D" w:rsidRDefault="00855C5D" w:rsidP="00855C5D">
      <w:r>
        <w:rPr>
          <w:sz w:val="22"/>
        </w:rPr>
        <w:lastRenderedPageBreak/>
        <w:t xml:space="preserve">En diciembre, la </w:t>
      </w:r>
      <w:r>
        <w:rPr>
          <w:b/>
          <w:bCs/>
          <w:sz w:val="22"/>
        </w:rPr>
        <w:t xml:space="preserve">producción de electricidad y agua </w:t>
      </w:r>
      <w:r>
        <w:rPr>
          <w:sz w:val="22"/>
        </w:rPr>
        <w:t xml:space="preserve">decreció 8,9 por ciento en relación con igual mes del año anterior; básicamente, por la menor generación de energía eléctrica </w:t>
      </w:r>
      <w:r>
        <w:rPr>
          <w:sz w:val="22"/>
        </w:rPr>
        <w:lastRenderedPageBreak/>
        <w:t>(-11,8 por ciento). En</w:t>
      </w:r>
      <w:r>
        <w:rPr>
          <w:sz w:val="22"/>
          <w:szCs w:val="22"/>
        </w:rPr>
        <w:t xml:space="preserve"> el año 2012, el sector creció en 5,1 por ciento respecto del año anterior.</w:t>
      </w:r>
    </w:p>
    <w:p w:rsidR="002E50CD" w:rsidRDefault="002E50CD" w:rsidP="002E50CD">
      <w:pPr>
        <w:rPr>
          <w:sz w:val="22"/>
        </w:rPr>
        <w:sectPr w:rsidR="002E50CD">
          <w:type w:val="continuous"/>
          <w:pgSz w:w="11907" w:h="16840" w:code="9"/>
          <w:pgMar w:top="1701" w:right="1418" w:bottom="1418" w:left="1701" w:header="1134" w:footer="1134" w:gutter="0"/>
          <w:paperSrc w:first="15"/>
          <w:cols w:num="2" w:space="708"/>
          <w:titlePg/>
        </w:sectPr>
      </w:pP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F04DEC" w:rsidRDefault="009539B9" w:rsidP="004E43C2">
      <w:pPr>
        <w:ind w:left="-510"/>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122A01" w:rsidRPr="00EB0090">
        <w:rPr>
          <w:sz w:val="26"/>
        </w:rPr>
        <w:object w:dxaOrig="8113" w:dyaOrig="2780">
          <v:shape id="_x0000_i1043" type="#_x0000_t75" style="width:400.5pt;height:137.25pt" o:ole="">
            <v:imagedata r:id="rId73" o:title=""/>
          </v:shape>
          <o:OLEObject Type="Embed" ProgID="Excel.Sheet.12" ShapeID="_x0000_i1043" DrawAspect="Content" ObjectID="_1423063380" r:id="rId74"/>
        </w:object>
      </w:r>
    </w:p>
    <w:p w:rsidR="00852557" w:rsidRPr="0052052B" w:rsidRDefault="00852557">
      <w:pPr>
        <w:rPr>
          <w:b/>
          <w:lang w:val="es-ES_tradnl"/>
        </w:rPr>
      </w:pPr>
      <w:r w:rsidRPr="00393F3E">
        <w:rPr>
          <w:b/>
          <w:lang w:val="es-ES_tradnl"/>
        </w:rPr>
        <w:lastRenderedPageBreak/>
        <w:t>1.1.7.</w:t>
      </w:r>
      <w:r w:rsidRPr="00393F3E">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5"/>
          <w:footerReference w:type="default" r:id="rId76"/>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393F3E">
        <w:rPr>
          <w:bCs/>
          <w:sz w:val="22"/>
          <w:szCs w:val="22"/>
        </w:rPr>
        <w:t>46</w:t>
      </w:r>
      <w:r>
        <w:rPr>
          <w:bCs/>
          <w:sz w:val="22"/>
          <w:szCs w:val="22"/>
        </w:rPr>
        <w:t>,0 por ciento i</w:t>
      </w:r>
      <w:r w:rsidR="00735C2D">
        <w:rPr>
          <w:bCs/>
          <w:sz w:val="22"/>
          <w:szCs w:val="22"/>
        </w:rPr>
        <w:t xml:space="preserve">ncrementó sus ventas respecto a </w:t>
      </w:r>
      <w:r w:rsidR="00393F3E">
        <w:rPr>
          <w:bCs/>
          <w:sz w:val="22"/>
          <w:szCs w:val="22"/>
        </w:rPr>
        <w:t>dic</w:t>
      </w:r>
      <w:r w:rsidR="00D23A25">
        <w:rPr>
          <w:bCs/>
          <w:sz w:val="22"/>
          <w:szCs w:val="22"/>
        </w:rPr>
        <w:t>iem</w:t>
      </w:r>
      <w:r w:rsidR="001469D2">
        <w:rPr>
          <w:bCs/>
          <w:sz w:val="22"/>
          <w:szCs w:val="22"/>
        </w:rPr>
        <w:t>bre</w:t>
      </w:r>
      <w:r>
        <w:rPr>
          <w:bCs/>
          <w:sz w:val="22"/>
          <w:szCs w:val="22"/>
        </w:rPr>
        <w:t xml:space="preserve"> del año pasado, mientras que un </w:t>
      </w:r>
      <w:r w:rsidR="00393F3E">
        <w:rPr>
          <w:bCs/>
          <w:sz w:val="22"/>
          <w:szCs w:val="22"/>
        </w:rPr>
        <w:t>29</w:t>
      </w:r>
      <w:r>
        <w:rPr>
          <w:bCs/>
          <w:sz w:val="22"/>
          <w:szCs w:val="22"/>
        </w:rPr>
        <w:t xml:space="preserve">,0 por ciento  experimentó una disminución  y </w:t>
      </w:r>
      <w:r w:rsidR="003D6631">
        <w:rPr>
          <w:bCs/>
          <w:sz w:val="22"/>
          <w:szCs w:val="22"/>
        </w:rPr>
        <w:t>un</w:t>
      </w:r>
      <w:r>
        <w:rPr>
          <w:bCs/>
          <w:sz w:val="22"/>
          <w:szCs w:val="22"/>
        </w:rPr>
        <w:t xml:space="preserve"> </w:t>
      </w:r>
      <w:r w:rsidR="002B74DC">
        <w:rPr>
          <w:bCs/>
          <w:sz w:val="22"/>
          <w:szCs w:val="22"/>
        </w:rPr>
        <w:t>2</w:t>
      </w:r>
      <w:r w:rsidR="00393F3E">
        <w:rPr>
          <w:bCs/>
          <w:sz w:val="22"/>
          <w:szCs w:val="22"/>
        </w:rPr>
        <w:t>5</w:t>
      </w:r>
      <w:r>
        <w:rPr>
          <w:bCs/>
          <w:sz w:val="22"/>
          <w:szCs w:val="22"/>
        </w:rPr>
        <w:t xml:space="preserve">,0 por ciento no mostró variación alguna. Con relación al mes precedente, el </w:t>
      </w:r>
      <w:r w:rsidR="00393F3E">
        <w:rPr>
          <w:bCs/>
          <w:sz w:val="22"/>
          <w:szCs w:val="22"/>
        </w:rPr>
        <w:t>66</w:t>
      </w:r>
      <w:r>
        <w:rPr>
          <w:bCs/>
          <w:sz w:val="22"/>
          <w:szCs w:val="22"/>
        </w:rPr>
        <w:t xml:space="preserve">,0 por ciento de las  empresas  declarantes  mostró </w:t>
      </w:r>
      <w:r>
        <w:rPr>
          <w:bCs/>
          <w:sz w:val="22"/>
          <w:szCs w:val="22"/>
        </w:rPr>
        <w:lastRenderedPageBreak/>
        <w:t xml:space="preserve">un crecimiento en sus ventas, el </w:t>
      </w:r>
      <w:r w:rsidR="00D23A25">
        <w:rPr>
          <w:bCs/>
          <w:sz w:val="22"/>
          <w:szCs w:val="22"/>
        </w:rPr>
        <w:t>21</w:t>
      </w:r>
      <w:r>
        <w:rPr>
          <w:bCs/>
          <w:sz w:val="22"/>
          <w:szCs w:val="22"/>
        </w:rPr>
        <w:t xml:space="preserve">,0 por </w:t>
      </w:r>
      <w:r w:rsidR="00D8354C">
        <w:rPr>
          <w:bCs/>
          <w:sz w:val="22"/>
          <w:szCs w:val="22"/>
        </w:rPr>
        <w:t>c</w:t>
      </w:r>
      <w:r>
        <w:rPr>
          <w:bCs/>
          <w:sz w:val="22"/>
          <w:szCs w:val="22"/>
        </w:rPr>
        <w:t>iento registró una caída</w:t>
      </w:r>
      <w:r w:rsidR="00A02E95">
        <w:rPr>
          <w:bCs/>
          <w:sz w:val="22"/>
          <w:szCs w:val="22"/>
        </w:rPr>
        <w:t xml:space="preserve"> </w:t>
      </w:r>
      <w:r>
        <w:rPr>
          <w:bCs/>
          <w:sz w:val="22"/>
          <w:szCs w:val="22"/>
        </w:rPr>
        <w:t xml:space="preserve">y </w:t>
      </w:r>
      <w:r w:rsidR="00F0556D">
        <w:rPr>
          <w:bCs/>
          <w:sz w:val="22"/>
          <w:szCs w:val="22"/>
        </w:rPr>
        <w:t xml:space="preserve">el </w:t>
      </w:r>
      <w:r w:rsidR="00393F3E">
        <w:rPr>
          <w:bCs/>
          <w:sz w:val="22"/>
          <w:szCs w:val="22"/>
        </w:rPr>
        <w:t>14</w:t>
      </w:r>
      <w:r w:rsidR="00F0556D">
        <w:rPr>
          <w:bCs/>
          <w:sz w:val="22"/>
          <w:szCs w:val="22"/>
        </w:rPr>
        <w:t>,0</w:t>
      </w:r>
      <w:r>
        <w:rPr>
          <w:bCs/>
          <w:sz w:val="22"/>
          <w:szCs w:val="22"/>
        </w:rPr>
        <w:t xml:space="preserve"> por ciento restante no exhibió cambios</w:t>
      </w:r>
      <w:r w:rsidR="00F0556D">
        <w:rPr>
          <w:bCs/>
          <w:sz w:val="22"/>
          <w:szCs w:val="22"/>
        </w:rPr>
        <w:t>.</w:t>
      </w:r>
      <w:r w:rsidR="00A02E95">
        <w:rPr>
          <w:bCs/>
          <w:sz w:val="22"/>
          <w:szCs w:val="22"/>
        </w:rPr>
        <w:t xml:space="preserve"> </w:t>
      </w:r>
    </w:p>
    <w:p w:rsidR="00680C58" w:rsidRDefault="00A31A23" w:rsidP="007E54D7">
      <w:pPr>
        <w:rPr>
          <w:bCs/>
          <w:sz w:val="22"/>
          <w:szCs w:val="22"/>
        </w:rPr>
      </w:pPr>
      <w:r w:rsidRPr="003D4908">
        <w:rPr>
          <w:bCs/>
          <w:sz w:val="22"/>
          <w:szCs w:val="22"/>
        </w:rPr>
        <w:t xml:space="preserve">Para </w:t>
      </w:r>
      <w:r w:rsidR="00393F3E">
        <w:rPr>
          <w:bCs/>
          <w:sz w:val="22"/>
          <w:szCs w:val="22"/>
        </w:rPr>
        <w:t xml:space="preserve">enero del </w:t>
      </w:r>
      <w:r w:rsidR="00680C58">
        <w:rPr>
          <w:bCs/>
          <w:sz w:val="22"/>
          <w:szCs w:val="22"/>
        </w:rPr>
        <w:t>próximo</w:t>
      </w:r>
      <w:r w:rsidR="00393F3E">
        <w:rPr>
          <w:bCs/>
          <w:sz w:val="22"/>
          <w:szCs w:val="22"/>
        </w:rPr>
        <w:t xml:space="preserve"> año</w:t>
      </w:r>
      <w:r w:rsidR="00680C58">
        <w:rPr>
          <w:bCs/>
          <w:sz w:val="22"/>
          <w:szCs w:val="22"/>
        </w:rPr>
        <w:t>,</w:t>
      </w:r>
      <w:r w:rsidRPr="003D4908">
        <w:rPr>
          <w:bCs/>
          <w:sz w:val="22"/>
          <w:szCs w:val="22"/>
        </w:rPr>
        <w:t xml:space="preserve"> las perspectivas de ventas son optimistas en el </w:t>
      </w:r>
      <w:r w:rsidR="00393F3E">
        <w:rPr>
          <w:bCs/>
          <w:sz w:val="22"/>
          <w:szCs w:val="22"/>
        </w:rPr>
        <w:t>41</w:t>
      </w:r>
      <w:r w:rsidR="00810FBA">
        <w:rPr>
          <w:bCs/>
          <w:sz w:val="22"/>
          <w:szCs w:val="22"/>
        </w:rPr>
        <w:t>,</w:t>
      </w:r>
      <w:r w:rsidRPr="003D4908">
        <w:rPr>
          <w:bCs/>
          <w:sz w:val="22"/>
          <w:szCs w:val="22"/>
        </w:rPr>
        <w:t xml:space="preserve">0 por ciento de los casos, pesimistas en el </w:t>
      </w:r>
      <w:r w:rsidR="00393F3E">
        <w:rPr>
          <w:bCs/>
          <w:sz w:val="22"/>
          <w:szCs w:val="22"/>
        </w:rPr>
        <w:t>31</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393F3E">
        <w:rPr>
          <w:bCs/>
          <w:sz w:val="22"/>
          <w:szCs w:val="22"/>
        </w:rPr>
        <w:t>28</w:t>
      </w:r>
      <w:r w:rsidRPr="003D4908">
        <w:rPr>
          <w:bCs/>
          <w:sz w:val="22"/>
          <w:szCs w:val="22"/>
        </w:rPr>
        <w:t>,0 por ciento.</w:t>
      </w:r>
      <w:r>
        <w:rPr>
          <w:bCs/>
          <w:sz w:val="22"/>
          <w:szCs w:val="22"/>
        </w:rPr>
        <w:t xml:space="preserve"> </w:t>
      </w:r>
    </w:p>
    <w:p w:rsidR="00D23A25" w:rsidRDefault="00D23A25" w:rsidP="007E54D7">
      <w:pPr>
        <w:rPr>
          <w:bCs/>
          <w:sz w:val="22"/>
          <w:szCs w:val="22"/>
        </w:rPr>
        <w:sectPr w:rsidR="00D23A25" w:rsidSect="00D8354C">
          <w:headerReference w:type="default" r:id="rId77"/>
          <w:footerReference w:type="even" r:id="rId78"/>
          <w:footerReference w:type="default" r:id="rId79"/>
          <w:headerReference w:type="first" r:id="rId80"/>
          <w:footerReference w:type="first" r:id="rId81"/>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393F3E"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941A7F">
        <w:rPr>
          <w:bCs/>
          <w:sz w:val="22"/>
          <w:szCs w:val="22"/>
        </w:rPr>
        <w:object w:dxaOrig="9689" w:dyaOrig="7197">
          <v:shape id="_x0000_i1044" type="#_x0000_t75" style="width:484.5pt;height:5in" o:ole="">
            <v:imagedata r:id="rId82" o:title=""/>
          </v:shape>
          <o:OLEObject Type="Embed" ProgID="Excel.Sheet.8" ShapeID="_x0000_i1044" DrawAspect="Content" ObjectID="_1423063381" r:id="rId83"/>
        </w:object>
      </w:r>
    </w:p>
    <w:p w:rsidR="00852557" w:rsidRDefault="00852557">
      <w:pPr>
        <w:rPr>
          <w:bCs/>
          <w:sz w:val="22"/>
          <w:szCs w:val="22"/>
        </w:rPr>
      </w:pPr>
    </w:p>
    <w:p w:rsidR="00852557" w:rsidRDefault="00852557">
      <w:pPr>
        <w:rPr>
          <w:rFonts w:ascii="Helvetica" w:hAnsi="Helvetica"/>
          <w:b/>
          <w:color w:val="FF0000"/>
          <w:sz w:val="18"/>
        </w:rPr>
      </w:pPr>
    </w:p>
    <w:p w:rsidR="004E080B" w:rsidRDefault="004E080B">
      <w:pPr>
        <w:rPr>
          <w:bCs/>
          <w:sz w:val="22"/>
        </w:rPr>
        <w:sectPr w:rsidR="004E080B" w:rsidSect="007F6778">
          <w:type w:val="continuous"/>
          <w:pgSz w:w="11906" w:h="16838"/>
          <w:pgMar w:top="1417" w:right="1701" w:bottom="1417" w:left="1701" w:header="720" w:footer="720" w:gutter="0"/>
          <w:cols w:num="2" w:space="720"/>
        </w:sectPr>
      </w:pPr>
    </w:p>
    <w:p w:rsidR="004E080B" w:rsidRDefault="004E080B">
      <w:pPr>
        <w:rPr>
          <w:bCs/>
          <w:sz w:val="22"/>
        </w:rPr>
      </w:pPr>
      <w:r w:rsidRPr="004E080B">
        <w:rPr>
          <w:bCs/>
          <w:sz w:val="22"/>
        </w:rPr>
        <w:lastRenderedPageBreak/>
        <w:t xml:space="preserve">Los factores de mayor incidencia en el desempeño de las ventas </w:t>
      </w:r>
      <w:r>
        <w:rPr>
          <w:bCs/>
          <w:sz w:val="22"/>
        </w:rPr>
        <w:t xml:space="preserve">de bienes y servicios fueron, tanto en diciembre como a lo largo del año, la mejora de ingresos de la </w:t>
      </w:r>
      <w:r>
        <w:rPr>
          <w:bCs/>
          <w:sz w:val="22"/>
        </w:rPr>
        <w:lastRenderedPageBreak/>
        <w:t xml:space="preserve">población y la exacerbación de la competencia </w:t>
      </w:r>
      <w:r w:rsidR="003402DD">
        <w:rPr>
          <w:bCs/>
          <w:sz w:val="22"/>
        </w:rPr>
        <w:t>por</w:t>
      </w:r>
      <w:r>
        <w:rPr>
          <w:bCs/>
          <w:sz w:val="22"/>
        </w:rPr>
        <w:t xml:space="preserve"> el surgimiento de nuevos centros comerciales. </w:t>
      </w:r>
    </w:p>
    <w:p w:rsidR="004E080B" w:rsidRDefault="004E080B">
      <w:pPr>
        <w:rPr>
          <w:bCs/>
          <w:sz w:val="22"/>
        </w:rPr>
        <w:sectPr w:rsidR="004E080B" w:rsidSect="004E080B">
          <w:type w:val="continuous"/>
          <w:pgSz w:w="11906" w:h="16838"/>
          <w:pgMar w:top="1417" w:right="1701" w:bottom="1417" w:left="1701" w:header="720" w:footer="720" w:gutter="0"/>
          <w:cols w:num="2" w:space="720"/>
        </w:sectPr>
      </w:pPr>
    </w:p>
    <w:p w:rsidR="00852557" w:rsidRPr="004E080B" w:rsidRDefault="00852557">
      <w:pPr>
        <w:rPr>
          <w:bCs/>
          <w:sz w:val="22"/>
        </w:rPr>
      </w:pPr>
    </w:p>
    <w:p w:rsidR="00852557" w:rsidRPr="004E080B" w:rsidRDefault="00852557">
      <w:pPr>
        <w:rPr>
          <w:bCs/>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EB2A9C" w:rsidRDefault="00EB2A9C">
      <w:pPr>
        <w:pStyle w:val="SBS"/>
        <w:rPr>
          <w:rFonts w:ascii="Times New Roman" w:hAnsi="Times New Roman"/>
          <w:color w:val="000000"/>
          <w:szCs w:val="20"/>
          <w:highlight w:val="yellow"/>
          <w:lang w:val="es-ES"/>
        </w:rPr>
      </w:pPr>
    </w:p>
    <w:p w:rsidR="00782704" w:rsidRPr="0013017C" w:rsidRDefault="00782704" w:rsidP="00782704">
      <w:pPr>
        <w:pStyle w:val="Ttulo4"/>
        <w:keepNext w:val="0"/>
        <w:numPr>
          <w:ilvl w:val="0"/>
          <w:numId w:val="1"/>
        </w:numPr>
        <w:tabs>
          <w:tab w:val="clear" w:pos="-1099"/>
        </w:tabs>
        <w:rPr>
          <w:sz w:val="26"/>
        </w:rPr>
      </w:pPr>
      <w:r w:rsidRPr="0013017C">
        <w:rPr>
          <w:sz w:val="26"/>
        </w:rPr>
        <w:t>TIPO DE CAMBIO</w:t>
      </w:r>
    </w:p>
    <w:p w:rsidR="00782704" w:rsidRPr="00B242ED" w:rsidRDefault="00782704" w:rsidP="00782704">
      <w:pPr>
        <w:rPr>
          <w:b/>
        </w:rPr>
      </w:pPr>
    </w:p>
    <w:p w:rsidR="00782704" w:rsidRDefault="00782704" w:rsidP="00782704">
      <w:pPr>
        <w:rPr>
          <w:b/>
        </w:rPr>
      </w:pPr>
      <w:r w:rsidRPr="007062B5">
        <w:rPr>
          <w:b/>
        </w:rPr>
        <w:t xml:space="preserve">2.1. </w:t>
      </w:r>
      <w:r w:rsidRPr="007062B5">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7062B5">
        <w:rPr>
          <w:rFonts w:ascii="Times New Roman" w:hAnsi="Times New Roman"/>
          <w:color w:val="000000"/>
          <w:szCs w:val="20"/>
          <w:lang w:val="es-ES"/>
        </w:rPr>
        <w:t>dic</w:t>
      </w:r>
      <w:r w:rsidR="00E1121A">
        <w:rPr>
          <w:rFonts w:ascii="Times New Roman" w:hAnsi="Times New Roman"/>
          <w:color w:val="000000"/>
          <w:szCs w:val="20"/>
          <w:lang w:val="es-ES"/>
        </w:rPr>
        <w:t>iembre</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7062B5">
        <w:rPr>
          <w:rFonts w:ascii="Times New Roman" w:hAnsi="Times New Roman"/>
          <w:color w:val="000000"/>
          <w:szCs w:val="20"/>
          <w:lang w:val="es-ES"/>
        </w:rPr>
        <w:t>4</w:t>
      </w:r>
      <w:r w:rsidR="00E1121A">
        <w:rPr>
          <w:rFonts w:ascii="Times New Roman" w:hAnsi="Times New Roman"/>
          <w:color w:val="000000"/>
          <w:szCs w:val="20"/>
          <w:lang w:val="es-ES"/>
        </w:rPr>
        <w:t>,</w:t>
      </w:r>
      <w:r w:rsidR="007062B5">
        <w:rPr>
          <w:rFonts w:ascii="Times New Roman" w:hAnsi="Times New Roman"/>
          <w:color w:val="000000"/>
          <w:szCs w:val="20"/>
          <w:lang w:val="es-ES"/>
        </w:rPr>
        <w:t>5</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w:t>
      </w:r>
      <w:r w:rsidR="00E1121A">
        <w:rPr>
          <w:rFonts w:ascii="Times New Roman" w:hAnsi="Times New Roman"/>
          <w:color w:val="000000"/>
          <w:szCs w:val="20"/>
          <w:lang w:val="es-ES"/>
        </w:rPr>
        <w:t>e mes</w:t>
      </w:r>
      <w:r w:rsidR="008B02AE">
        <w:rPr>
          <w:rFonts w:ascii="Times New Roman" w:hAnsi="Times New Roman"/>
          <w:color w:val="000000"/>
          <w:szCs w:val="20"/>
          <w:lang w:val="es-ES"/>
        </w:rPr>
        <w:t>, se cotizó en  S</w:t>
      </w:r>
      <w:r w:rsidR="008B02AE" w:rsidRPr="003D6C32">
        <w:rPr>
          <w:rFonts w:ascii="Times New Roman" w:hAnsi="Times New Roman"/>
          <w:color w:val="000000"/>
          <w:szCs w:val="20"/>
          <w:lang w:val="es-ES"/>
        </w:rPr>
        <w:t>/. 2,</w:t>
      </w:r>
      <w:r w:rsidR="00E1121A">
        <w:rPr>
          <w:rFonts w:ascii="Times New Roman" w:hAnsi="Times New Roman"/>
          <w:color w:val="000000"/>
          <w:szCs w:val="20"/>
          <w:lang w:val="es-ES"/>
        </w:rPr>
        <w:t>5</w:t>
      </w:r>
      <w:r w:rsidR="007062B5">
        <w:rPr>
          <w:rFonts w:ascii="Times New Roman" w:hAnsi="Times New Roman"/>
          <w:color w:val="000000"/>
          <w:szCs w:val="20"/>
          <w:lang w:val="es-ES"/>
        </w:rPr>
        <w:t>5</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sidR="007062B5">
        <w:rPr>
          <w:rFonts w:ascii="Times New Roman" w:hAnsi="Times New Roman"/>
          <w:color w:val="000000"/>
          <w:szCs w:val="20"/>
          <w:lang w:val="es-ES"/>
        </w:rPr>
        <w:t>57</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w:t>
      </w:r>
      <w:r w:rsidR="00E1121A">
        <w:rPr>
          <w:rFonts w:ascii="Times New Roman" w:hAnsi="Times New Roman"/>
          <w:color w:val="000000"/>
          <w:szCs w:val="20"/>
          <w:lang w:val="es-ES"/>
        </w:rPr>
        <w:t>fue de</w:t>
      </w:r>
      <w:r w:rsidR="00854926">
        <w:rPr>
          <w:rFonts w:ascii="Times New Roman" w:hAnsi="Times New Roman"/>
          <w:color w:val="000000"/>
          <w:szCs w:val="20"/>
          <w:lang w:val="es-ES"/>
        </w:rPr>
        <w:t xml:space="preserve"> S/.2</w:t>
      </w:r>
      <w:r w:rsidR="001F53A6">
        <w:rPr>
          <w:rFonts w:ascii="Times New Roman" w:hAnsi="Times New Roman"/>
          <w:color w:val="000000"/>
          <w:szCs w:val="20"/>
          <w:lang w:val="es-ES"/>
        </w:rPr>
        <w:t>,</w:t>
      </w:r>
      <w:r w:rsidR="0013017C">
        <w:rPr>
          <w:rFonts w:ascii="Times New Roman" w:hAnsi="Times New Roman"/>
          <w:color w:val="000000"/>
          <w:szCs w:val="20"/>
          <w:lang w:val="es-ES"/>
        </w:rPr>
        <w:t>5</w:t>
      </w:r>
      <w:r w:rsidR="007062B5">
        <w:rPr>
          <w:rFonts w:ascii="Times New Roman" w:hAnsi="Times New Roman"/>
          <w:color w:val="000000"/>
          <w:szCs w:val="20"/>
          <w:lang w:val="es-ES"/>
        </w:rPr>
        <w:t>67</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A35F09" w:rsidRDefault="00A35F09" w:rsidP="00782704">
      <w:pPr>
        <w:pStyle w:val="SBS"/>
        <w:rPr>
          <w:rFonts w:ascii="Times New Roman" w:hAnsi="Times New Roman"/>
          <w:color w:val="000000"/>
          <w:szCs w:val="20"/>
          <w:highlight w:val="yellow"/>
          <w:lang w:val="es-ES"/>
        </w:rPr>
      </w:pPr>
    </w:p>
    <w:p w:rsidR="00852557" w:rsidRPr="007062B5" w:rsidRDefault="007062B5" w:rsidP="007062B5">
      <w:pPr>
        <w:pStyle w:val="SBS"/>
        <w:rPr>
          <w:rFonts w:ascii="Times New Roman" w:hAnsi="Times New Roman"/>
          <w:color w:val="000000"/>
          <w:szCs w:val="20"/>
          <w:highlight w:val="yellow"/>
          <w:lang w:val="es-ES"/>
        </w:rPr>
        <w:sectPr w:rsidR="00852557" w:rsidRPr="007062B5" w:rsidSect="007F6778">
          <w:type w:val="continuous"/>
          <w:pgSz w:w="11906" w:h="16838"/>
          <w:pgMar w:top="1417" w:right="1701" w:bottom="1417" w:left="1701" w:header="720" w:footer="720" w:gutter="0"/>
          <w:cols w:space="720"/>
        </w:sectPr>
      </w:pPr>
      <w:r w:rsidRPr="00D63A80">
        <w:rPr>
          <w:rFonts w:ascii="Times New Roman" w:hAnsi="Times New Roman"/>
          <w:color w:val="000000"/>
          <w:szCs w:val="20"/>
          <w:highlight w:val="yellow"/>
          <w:lang w:val="es-ES"/>
        </w:rPr>
        <w:object w:dxaOrig="8977" w:dyaOrig="4110">
          <v:shape id="_x0000_i1045" type="#_x0000_t75" style="width:448.5pt;height:205.5pt" o:ole="">
            <v:imagedata r:id="rId84" o:title=""/>
          </v:shape>
          <o:OLEObject Type="Embed" ProgID="Excel.Sheet.8" ShapeID="_x0000_i1045" DrawAspect="Content" ObjectID="_1423063382" r:id="rId85"/>
        </w:object>
      </w:r>
    </w:p>
    <w:p w:rsidR="00852557" w:rsidRPr="00F90504" w:rsidRDefault="00852557">
      <w:pPr>
        <w:pStyle w:val="Ttulo1"/>
        <w:numPr>
          <w:ilvl w:val="0"/>
          <w:numId w:val="1"/>
        </w:numPr>
        <w:rPr>
          <w:sz w:val="26"/>
        </w:rPr>
      </w:pPr>
      <w:bookmarkStart w:id="8" w:name="_Hlt80439059"/>
      <w:bookmarkStart w:id="9" w:name="_Toc106181550"/>
      <w:r w:rsidRPr="00F90504">
        <w:rPr>
          <w:sz w:val="26"/>
        </w:rPr>
        <w:lastRenderedPageBreak/>
        <w:t>SECTOR  EXTERNO</w:t>
      </w:r>
    </w:p>
    <w:p w:rsidR="00852557" w:rsidRPr="001F750C" w:rsidRDefault="00852557">
      <w:pPr>
        <w:pStyle w:val="times"/>
        <w:spacing w:before="0" w:beforeAutospacing="0" w:after="0" w:afterAutospacing="0"/>
        <w:rPr>
          <w:rFonts w:eastAsia="Times New Roman"/>
        </w:rPr>
        <w:sectPr w:rsidR="00852557" w:rsidRPr="001F750C">
          <w:headerReference w:type="default" r:id="rId86"/>
          <w:footerReference w:type="default" r:id="rId87"/>
          <w:footerReference w:type="first" r:id="rId88"/>
          <w:type w:val="continuous"/>
          <w:pgSz w:w="11907" w:h="16840" w:code="9"/>
          <w:pgMar w:top="1701" w:right="1418" w:bottom="1418" w:left="1701" w:header="1134" w:footer="1134" w:gutter="0"/>
          <w:paperSrc w:first="15"/>
          <w:cols w:space="720"/>
          <w:titlePg/>
        </w:sectPr>
      </w:pPr>
    </w:p>
    <w:p w:rsidR="00852557" w:rsidRPr="001F750C" w:rsidRDefault="00852557"/>
    <w:p w:rsidR="00852557" w:rsidRPr="00B609AB" w:rsidRDefault="00852557">
      <w:pPr>
        <w:pStyle w:val="Ttulo2"/>
        <w:numPr>
          <w:ilvl w:val="1"/>
          <w:numId w:val="1"/>
        </w:numPr>
        <w:rPr>
          <w:rFonts w:ascii="Times New Roman" w:hAnsi="Times New Roman"/>
          <w:sz w:val="22"/>
        </w:rPr>
      </w:pPr>
      <w:bookmarkStart w:id="10" w:name="_Hlt70502150"/>
      <w:bookmarkEnd w:id="10"/>
      <w:r w:rsidRPr="00B609AB">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047CC5" w:rsidRDefault="00047CC5" w:rsidP="00047CC5">
      <w:pPr>
        <w:pStyle w:val="Sangradetextonormal"/>
        <w:ind w:firstLine="0"/>
        <w:rPr>
          <w:sz w:val="22"/>
        </w:rPr>
      </w:pPr>
      <w:r>
        <w:rPr>
          <w:sz w:val="22"/>
        </w:rPr>
        <w:lastRenderedPageBreak/>
        <w:t xml:space="preserve">En diciembre, las </w:t>
      </w:r>
      <w:r>
        <w:rPr>
          <w:b/>
          <w:sz w:val="22"/>
        </w:rPr>
        <w:t>exportaciones</w:t>
      </w:r>
      <w:r>
        <w:rPr>
          <w:sz w:val="22"/>
        </w:rPr>
        <w:t xml:space="preserve"> del departamento de Piura fueron de US$255,4 millones, lo que significó una caída de 15,4 por ciento respecto a las de igual mes del año pasado, por la menor oferta de productos tradicionales (-38,8 por ciento) que más que contrarrestó el incremento de los no tradicionales (12,4 por ciento).</w:t>
      </w:r>
    </w:p>
    <w:p w:rsidR="007062B5" w:rsidRDefault="007062B5" w:rsidP="00047CC5">
      <w:pPr>
        <w:pStyle w:val="Sangradetextonormal"/>
        <w:ind w:firstLine="0"/>
        <w:rPr>
          <w:sz w:val="22"/>
        </w:rPr>
      </w:pPr>
    </w:p>
    <w:p w:rsidR="00047CC5" w:rsidRDefault="00047CC5" w:rsidP="00047CC5">
      <w:pPr>
        <w:pStyle w:val="Sangradetextonormal"/>
        <w:ind w:firstLine="0"/>
        <w:rPr>
          <w:sz w:val="22"/>
        </w:rPr>
      </w:pPr>
      <w:r>
        <w:rPr>
          <w:sz w:val="22"/>
        </w:rPr>
        <w:t>Dentro d</w:t>
      </w:r>
      <w:r w:rsidRPr="00B53B01">
        <w:rPr>
          <w:sz w:val="22"/>
        </w:rPr>
        <w:t xml:space="preserve">el primer grupo, </w:t>
      </w:r>
      <w:r>
        <w:rPr>
          <w:sz w:val="22"/>
        </w:rPr>
        <w:t>cayeron las ventas de</w:t>
      </w:r>
      <w:r w:rsidRPr="00B53B01">
        <w:rPr>
          <w:sz w:val="22"/>
        </w:rPr>
        <w:t xml:space="preserve"> petróleo y derivado</w:t>
      </w:r>
      <w:r>
        <w:rPr>
          <w:sz w:val="22"/>
        </w:rPr>
        <w:t xml:space="preserve">s </w:t>
      </w:r>
      <w:r w:rsidRPr="007A2C26">
        <w:rPr>
          <w:sz w:val="22"/>
        </w:rPr>
        <w:t>(</w:t>
      </w:r>
      <w:r>
        <w:rPr>
          <w:sz w:val="22"/>
        </w:rPr>
        <w:t xml:space="preserve">-42,3 </w:t>
      </w:r>
      <w:r w:rsidRPr="007A2C26">
        <w:rPr>
          <w:sz w:val="22"/>
        </w:rPr>
        <w:t>por ciento)</w:t>
      </w:r>
      <w:r>
        <w:rPr>
          <w:sz w:val="22"/>
        </w:rPr>
        <w:t>, harina de pescado (-28,9 por ciento), café</w:t>
      </w:r>
      <w:r w:rsidRPr="00B53B01">
        <w:rPr>
          <w:sz w:val="22"/>
        </w:rPr>
        <w:t xml:space="preserve"> </w:t>
      </w:r>
      <w:r>
        <w:rPr>
          <w:sz w:val="22"/>
        </w:rPr>
        <w:t xml:space="preserve">    </w:t>
      </w:r>
      <w:r w:rsidRPr="00B53B01">
        <w:rPr>
          <w:sz w:val="22"/>
        </w:rPr>
        <w:t>(</w:t>
      </w:r>
      <w:r>
        <w:rPr>
          <w:sz w:val="22"/>
        </w:rPr>
        <w:t xml:space="preserve">-53,3 </w:t>
      </w:r>
      <w:r w:rsidRPr="00B53B01">
        <w:rPr>
          <w:sz w:val="22"/>
        </w:rPr>
        <w:t>por ciento)</w:t>
      </w:r>
      <w:r>
        <w:rPr>
          <w:sz w:val="22"/>
        </w:rPr>
        <w:t xml:space="preserve"> y azúcar (-12,3 por ciento), aunque aumentaron las de oleína (78,0 por ciento).</w:t>
      </w:r>
    </w:p>
    <w:p w:rsidR="00803BBF" w:rsidRDefault="00047CC5" w:rsidP="00047CC5">
      <w:pPr>
        <w:pStyle w:val="Sangradetextonormal"/>
        <w:ind w:firstLine="0"/>
        <w:rPr>
          <w:sz w:val="22"/>
        </w:rPr>
      </w:pPr>
      <w:r w:rsidRPr="007A2C26">
        <w:rPr>
          <w:sz w:val="22"/>
        </w:rPr>
        <w:lastRenderedPageBreak/>
        <w:t>En</w:t>
      </w:r>
      <w:r>
        <w:rPr>
          <w:sz w:val="22"/>
        </w:rPr>
        <w:t xml:space="preserve"> el caso de los</w:t>
      </w:r>
      <w:r w:rsidRPr="006C2581">
        <w:rPr>
          <w:sz w:val="22"/>
        </w:rPr>
        <w:t xml:space="preserve"> no</w:t>
      </w:r>
      <w:r w:rsidRPr="002062D7">
        <w:rPr>
          <w:color w:val="FF0000"/>
          <w:sz w:val="22"/>
        </w:rPr>
        <w:t xml:space="preserve"> </w:t>
      </w:r>
      <w:r w:rsidRPr="005221BB">
        <w:rPr>
          <w:sz w:val="22"/>
        </w:rPr>
        <w:t>tradicionales</w:t>
      </w:r>
      <w:r>
        <w:rPr>
          <w:sz w:val="22"/>
        </w:rPr>
        <w:t xml:space="preserve">, el incremento relativo más significativo se dio en los envíos de etanol (805,9 por ciento). También aumentaron los de </w:t>
      </w:r>
      <w:r w:rsidRPr="005221BB">
        <w:rPr>
          <w:sz w:val="22"/>
        </w:rPr>
        <w:t>fosfatos naturales (</w:t>
      </w:r>
      <w:r>
        <w:rPr>
          <w:sz w:val="22"/>
        </w:rPr>
        <w:t xml:space="preserve">12,3 </w:t>
      </w:r>
      <w:r w:rsidRPr="005221BB">
        <w:rPr>
          <w:sz w:val="22"/>
        </w:rPr>
        <w:t>por ciento)</w:t>
      </w:r>
      <w:r>
        <w:rPr>
          <w:sz w:val="22"/>
        </w:rPr>
        <w:t>,</w:t>
      </w:r>
      <w:r w:rsidRPr="005221BB">
        <w:rPr>
          <w:sz w:val="22"/>
        </w:rPr>
        <w:t xml:space="preserve"> </w:t>
      </w:r>
      <w:r>
        <w:rPr>
          <w:sz w:val="22"/>
        </w:rPr>
        <w:t xml:space="preserve">pota congelada (32,4 por ciento), </w:t>
      </w:r>
      <w:r w:rsidRPr="005221BB">
        <w:rPr>
          <w:sz w:val="22"/>
        </w:rPr>
        <w:t>conservas de pescado (</w:t>
      </w:r>
      <w:r>
        <w:rPr>
          <w:sz w:val="22"/>
        </w:rPr>
        <w:t xml:space="preserve">21,0 </w:t>
      </w:r>
      <w:r w:rsidRPr="005221BB">
        <w:rPr>
          <w:sz w:val="22"/>
        </w:rPr>
        <w:t>por ciento)</w:t>
      </w:r>
      <w:r>
        <w:rPr>
          <w:sz w:val="22"/>
        </w:rPr>
        <w:t>, mangos (139,3 por ciento, bananas (8,2 por ciento), pimientos preparados (107,0</w:t>
      </w:r>
      <w:r w:rsidRPr="005221BB">
        <w:rPr>
          <w:sz w:val="22"/>
        </w:rPr>
        <w:t xml:space="preserve"> por ciento)</w:t>
      </w:r>
      <w:r>
        <w:rPr>
          <w:sz w:val="22"/>
        </w:rPr>
        <w:t xml:space="preserve"> e hilados (48,2 por ciento). En contraste, cayeron las exportaciones de uvas (-4,6 por ciento), pescado congelado (-51,7 por ciento), conchas de abanico (-33,6 por ciento) y frijoles y otras legumbres (-27,6 por ciento)</w:t>
      </w:r>
    </w:p>
    <w:p w:rsidR="001F750C" w:rsidRDefault="001F750C" w:rsidP="001F750C">
      <w:pPr>
        <w:pStyle w:val="Sangradetextonormal"/>
        <w:ind w:firstLine="0"/>
        <w:rPr>
          <w:sz w:val="22"/>
        </w:rPr>
        <w:sectPr w:rsidR="001F750C"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9D0153">
      <w:pPr>
        <w:jc w:val="center"/>
        <w:rPr>
          <w:sz w:val="22"/>
        </w:rPr>
      </w:pPr>
      <w:r w:rsidRPr="00C06FE8">
        <w:rPr>
          <w:sz w:val="22"/>
        </w:rPr>
        <w:object w:dxaOrig="8113" w:dyaOrig="5221">
          <v:shape id="_x0000_i1046" type="#_x0000_t75" style="width:405.75pt;height:261pt" o:ole="">
            <v:imagedata r:id="rId89" o:title=""/>
          </v:shape>
          <o:OLEObject Type="Embed" ProgID="Excel.Sheet.12" ShapeID="_x0000_i1046" DrawAspect="Content" ObjectID="_1423063383" r:id="rId90"/>
        </w:object>
      </w:r>
    </w:p>
    <w:p w:rsidR="00C25AF5" w:rsidRDefault="00C25AF5">
      <w:pPr>
        <w:jc w:val="center"/>
        <w:rPr>
          <w:sz w:val="22"/>
        </w:rPr>
      </w:pPr>
    </w:p>
    <w:p w:rsidR="00596288" w:rsidRDefault="00596288" w:rsidP="000865D1">
      <w:pPr>
        <w:rPr>
          <w:sz w:val="22"/>
        </w:rPr>
      </w:pPr>
    </w:p>
    <w:p w:rsidR="00A243CF" w:rsidRDefault="00A243CF" w:rsidP="000865D1">
      <w:pPr>
        <w:rPr>
          <w:sz w:val="22"/>
        </w:rPr>
        <w:sectPr w:rsidR="00A243CF">
          <w:type w:val="continuous"/>
          <w:pgSz w:w="11907" w:h="16840" w:code="9"/>
          <w:pgMar w:top="1701" w:right="1418" w:bottom="1418" w:left="1701" w:header="1134" w:footer="1134" w:gutter="0"/>
          <w:paperSrc w:first="15"/>
          <w:cols w:space="708"/>
          <w:titlePg/>
        </w:sectPr>
      </w:pPr>
    </w:p>
    <w:p w:rsidR="00047CC5" w:rsidRDefault="00047CC5" w:rsidP="00047CC5">
      <w:pPr>
        <w:rPr>
          <w:sz w:val="22"/>
        </w:rPr>
      </w:pPr>
      <w:r>
        <w:rPr>
          <w:sz w:val="22"/>
        </w:rPr>
        <w:lastRenderedPageBreak/>
        <w:t>En el año 2012, las exportaciones crecieron 14,3 por ciento en relación con el año anterior.</w:t>
      </w:r>
    </w:p>
    <w:p w:rsidR="00047CC5" w:rsidRDefault="00047CC5" w:rsidP="00047CC5">
      <w:pPr>
        <w:rPr>
          <w:sz w:val="22"/>
        </w:rPr>
      </w:pPr>
    </w:p>
    <w:p w:rsidR="00047CC5" w:rsidRDefault="00047CC5" w:rsidP="00047CC5">
      <w:pPr>
        <w:rPr>
          <w:sz w:val="22"/>
        </w:rPr>
      </w:pPr>
      <w:r>
        <w:rPr>
          <w:sz w:val="22"/>
        </w:rPr>
        <w:t>La participación relativa de las exportaciones tradicionales disminuyó de</w:t>
      </w:r>
      <w:r>
        <w:rPr>
          <w:bCs/>
          <w:sz w:val="22"/>
        </w:rPr>
        <w:t xml:space="preserve"> 52,1 por ciento a 47,5 por ciento, básicamente por las menores </w:t>
      </w:r>
      <w:r>
        <w:rPr>
          <w:bCs/>
          <w:sz w:val="22"/>
        </w:rPr>
        <w:br w:type="column"/>
      </w:r>
      <w:r>
        <w:rPr>
          <w:bCs/>
          <w:sz w:val="22"/>
        </w:rPr>
        <w:lastRenderedPageBreak/>
        <w:t>ventas de p</w:t>
      </w:r>
      <w:r>
        <w:rPr>
          <w:sz w:val="22"/>
        </w:rPr>
        <w:t>etróleo y derivados.</w:t>
      </w:r>
    </w:p>
    <w:p w:rsidR="00047CC5" w:rsidRDefault="00047CC5" w:rsidP="00047CC5">
      <w:pPr>
        <w:rPr>
          <w:bCs/>
          <w:sz w:val="22"/>
        </w:rPr>
      </w:pPr>
    </w:p>
    <w:p w:rsidR="00047CC5" w:rsidRDefault="00047CC5" w:rsidP="00047CC5">
      <w:pPr>
        <w:rPr>
          <w:bCs/>
          <w:sz w:val="22"/>
        </w:rPr>
      </w:pPr>
      <w:r>
        <w:rPr>
          <w:sz w:val="22"/>
        </w:rPr>
        <w:t>Los fosfatos naturales y el etanol aumentaron su participación en el conjunto de las exportaciones; particularmente</w:t>
      </w:r>
      <w:r w:rsidR="00122A01">
        <w:rPr>
          <w:sz w:val="22"/>
        </w:rPr>
        <w:t>,</w:t>
      </w:r>
      <w:r>
        <w:rPr>
          <w:sz w:val="22"/>
        </w:rPr>
        <w:t xml:space="preserve"> en el primer caso se pasó de una importancia relativa de 9</w:t>
      </w:r>
      <w:r w:rsidRPr="00043FE8">
        <w:rPr>
          <w:sz w:val="22"/>
        </w:rPr>
        <w:t>,</w:t>
      </w:r>
      <w:r>
        <w:rPr>
          <w:sz w:val="22"/>
        </w:rPr>
        <w:t>8</w:t>
      </w:r>
      <w:r w:rsidRPr="00043FE8">
        <w:rPr>
          <w:sz w:val="22"/>
        </w:rPr>
        <w:t xml:space="preserve"> por ciento a 1</w:t>
      </w:r>
      <w:r>
        <w:rPr>
          <w:sz w:val="22"/>
        </w:rPr>
        <w:t>5</w:t>
      </w:r>
      <w:r w:rsidRPr="00043FE8">
        <w:rPr>
          <w:sz w:val="22"/>
        </w:rPr>
        <w:t>,</w:t>
      </w:r>
      <w:r>
        <w:rPr>
          <w:sz w:val="22"/>
        </w:rPr>
        <w:t>6</w:t>
      </w:r>
      <w:r w:rsidRPr="00043FE8">
        <w:rPr>
          <w:sz w:val="22"/>
        </w:rPr>
        <w:t xml:space="preserve"> por ciento.</w:t>
      </w:r>
    </w:p>
    <w:p w:rsidR="00C25AF5" w:rsidRDefault="00C25AF5" w:rsidP="00A63B51">
      <w:pPr>
        <w:rPr>
          <w:bCs/>
          <w:sz w:val="22"/>
        </w:rPr>
        <w:sectPr w:rsidR="00C25AF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D63A80" w:rsidP="00A63B51">
      <w:pPr>
        <w:rPr>
          <w:bCs/>
          <w:sz w:val="22"/>
        </w:rPr>
      </w:pPr>
      <w:r w:rsidRPr="00D63A80">
        <w:rPr>
          <w:noProof/>
        </w:rPr>
        <w:lastRenderedPageBreak/>
        <w:pict>
          <v:shape id="_x0000_s410104" type="#_x0000_t75" style="position:absolute;left:0;text-align:left;margin-left:16.05pt;margin-top:467.8pt;width:425.35pt;height:254.75pt;z-index:251811328">
            <v:imagedata r:id="rId91" o:title=""/>
          </v:shape>
          <o:OLEObject Type="Embed" ProgID="Excel.Sheet.12" ShapeID="_x0000_s410104" DrawAspect="Content" ObjectID="_1423063405" r:id="rId92"/>
        </w:pict>
      </w:r>
      <w:r w:rsidRPr="00D63A80">
        <w:rPr>
          <w:noProof/>
          <w:sz w:val="22"/>
          <w:lang w:val="es-PE" w:eastAsia="es-PE"/>
        </w:rPr>
        <w:pict>
          <v:shape id="_x0000_s410103" type="#_x0000_t75" style="position:absolute;left:0;text-align:left;margin-left:4.95pt;margin-top:224.65pt;width:452.1pt;height:255.7pt;z-index:251809280">
            <v:imagedata r:id="rId93" o:title=""/>
            <w10:wrap type="square"/>
          </v:shape>
          <o:OLEObject Type="Embed" ProgID="Excel.Sheet.12" ShapeID="_x0000_s410103" DrawAspect="Content" ObjectID="_1423063406" r:id="rId94"/>
        </w:pict>
      </w:r>
      <w:r w:rsidR="007062B5" w:rsidRPr="00C06FE8">
        <w:rPr>
          <w:bCs/>
          <w:sz w:val="22"/>
        </w:rPr>
        <w:object w:dxaOrig="28147" w:dyaOrig="11534">
          <v:shape id="_x0000_i1047" type="#_x0000_t75" style="width:453pt;height:220.5pt" o:ole="">
            <v:imagedata r:id="rId95" o:title=""/>
          </v:shape>
          <o:OLEObject Type="Embed" ProgID="Excel.Sheet.12" ShapeID="_x0000_i1047" DrawAspect="Content" ObjectID="_1423063384" r:id="rId96"/>
        </w:object>
      </w:r>
    </w:p>
    <w:p w:rsidR="00AF1200" w:rsidRDefault="00AF1200" w:rsidP="00A63B51">
      <w:pPr>
        <w:rPr>
          <w:bCs/>
          <w:sz w:val="22"/>
        </w:rPr>
      </w:pPr>
    </w:p>
    <w:p w:rsidR="00AF1200" w:rsidRDefault="00AF1200" w:rsidP="00A63B51">
      <w:pPr>
        <w:rPr>
          <w:bCs/>
          <w:sz w:val="22"/>
        </w:rPr>
        <w:sectPr w:rsidR="00AF1200" w:rsidSect="00027A05">
          <w:type w:val="continuous"/>
          <w:pgSz w:w="11907" w:h="16840" w:code="9"/>
          <w:pgMar w:top="1701" w:right="1418" w:bottom="1418" w:left="1701" w:header="1134" w:footer="1134" w:gutter="0"/>
          <w:paperSrc w:first="15"/>
          <w:cols w:space="708"/>
          <w:titlePg/>
        </w:sectPr>
      </w:pPr>
    </w:p>
    <w:p w:rsidR="00701F39" w:rsidRDefault="00701F39" w:rsidP="006C39FC">
      <w:pPr>
        <w:pStyle w:val="Sangradetextonormal"/>
        <w:ind w:left="-340" w:firstLine="0"/>
        <w:rPr>
          <w:sz w:val="22"/>
        </w:rPr>
      </w:pPr>
    </w:p>
    <w:p w:rsidR="00A05534" w:rsidRDefault="00A05534" w:rsidP="00ED1B8C">
      <w:pPr>
        <w:pStyle w:val="Sangradetextonormal"/>
        <w:ind w:firstLine="0"/>
      </w:pPr>
    </w:p>
    <w:p w:rsidR="00A243CF" w:rsidRDefault="00A243CF" w:rsidP="00ED1B8C">
      <w:pPr>
        <w:pStyle w:val="Sangradetextonormal"/>
        <w:ind w:firstLine="0"/>
      </w:pPr>
    </w:p>
    <w:p w:rsidR="00A243CF" w:rsidRDefault="00A243CF" w:rsidP="00ED1B8C">
      <w:pPr>
        <w:pStyle w:val="Sangradetextonormal"/>
        <w:ind w:firstLine="0"/>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C25AF5" w:rsidP="008B54BE">
      <w:pPr>
        <w:pStyle w:val="Sangradetextonormal"/>
        <w:ind w:left="-57" w:firstLine="0"/>
        <w:jc w:val="center"/>
      </w:pPr>
    </w:p>
    <w:p w:rsidR="00C25AF5" w:rsidRDefault="00A26C6B" w:rsidP="007062B5">
      <w:pPr>
        <w:pStyle w:val="Sangradetextonormal"/>
        <w:ind w:left="-397" w:firstLine="0"/>
        <w:jc w:val="center"/>
      </w:pPr>
      <w:r>
        <w:object w:dxaOrig="9959" w:dyaOrig="9772">
          <v:shape id="_x0000_i1048" type="#_x0000_t75" style="width:472.5pt;height:488.25pt" o:ole="">
            <v:imagedata r:id="rId97" o:title=""/>
          </v:shape>
          <o:OLEObject Type="Embed" ProgID="Excel.Sheet.12" ShapeID="_x0000_i1048" DrawAspect="Content" ObjectID="_1423063385" r:id="rId98"/>
        </w:object>
      </w:r>
    </w:p>
    <w:p w:rsidR="00AF1200" w:rsidRDefault="00AF1200" w:rsidP="008B54BE">
      <w:pPr>
        <w:pStyle w:val="Sangradetextonormal"/>
        <w:ind w:left="-57" w:firstLine="0"/>
        <w:jc w:val="center"/>
      </w:pPr>
    </w:p>
    <w:p w:rsidR="00AF1200" w:rsidRDefault="00AF1200" w:rsidP="008B54BE">
      <w:pPr>
        <w:pStyle w:val="Sangradetextonormal"/>
        <w:ind w:left="-57" w:firstLine="0"/>
        <w:jc w:val="center"/>
      </w:pPr>
    </w:p>
    <w:p w:rsidR="00A26C6B" w:rsidRDefault="00A26C6B" w:rsidP="008B54BE">
      <w:pPr>
        <w:pStyle w:val="Sangradetextonormal"/>
        <w:ind w:left="-57" w:firstLine="0"/>
        <w:jc w:val="center"/>
      </w:pPr>
    </w:p>
    <w:p w:rsidR="00A26C6B" w:rsidRDefault="00A26C6B" w:rsidP="008B54BE">
      <w:pPr>
        <w:pStyle w:val="Sangradetextonormal"/>
        <w:ind w:left="-57" w:firstLine="0"/>
        <w:jc w:val="center"/>
      </w:pPr>
    </w:p>
    <w:p w:rsidR="00A26C6B" w:rsidRDefault="00A26C6B" w:rsidP="008B54BE">
      <w:pPr>
        <w:pStyle w:val="Sangradetextonormal"/>
        <w:ind w:left="-57" w:firstLine="0"/>
        <w:jc w:val="center"/>
      </w:pPr>
    </w:p>
    <w:p w:rsidR="00AF1200" w:rsidRDefault="00AF1200" w:rsidP="008B54BE">
      <w:pPr>
        <w:pStyle w:val="Sangradetextonormal"/>
        <w:ind w:left="-57" w:firstLine="0"/>
        <w:jc w:val="center"/>
      </w:pPr>
    </w:p>
    <w:p w:rsidR="00852557" w:rsidRDefault="00852557" w:rsidP="00D0738F">
      <w:pPr>
        <w:pStyle w:val="Sangradetextonormal"/>
        <w:ind w:left="-283" w:firstLine="0"/>
        <w:jc w:val="center"/>
        <w:sectPr w:rsidR="00852557">
          <w:type w:val="continuous"/>
          <w:pgSz w:w="11907" w:h="16840" w:code="9"/>
          <w:pgMar w:top="1701" w:right="1418" w:bottom="1418" w:left="1701" w:header="1134" w:footer="1134" w:gutter="0"/>
          <w:paperSrc w:first="15"/>
          <w:cols w:space="720"/>
          <w:titlePg/>
        </w:sectPr>
      </w:pPr>
    </w:p>
    <w:p w:rsidR="000865D1" w:rsidRDefault="000865D1"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pPr>
    </w:p>
    <w:p w:rsidR="00A243CF" w:rsidRDefault="00A243CF" w:rsidP="009D3FA5">
      <w:pPr>
        <w:pStyle w:val="Sangradetextonormal"/>
        <w:ind w:firstLine="0"/>
        <w:rPr>
          <w:sz w:val="22"/>
          <w:szCs w:val="22"/>
        </w:rPr>
        <w:sectPr w:rsidR="00A243CF"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0302DD" w:rsidP="008B54BE">
      <w:pPr>
        <w:pStyle w:val="Sangradetextonormal"/>
        <w:ind w:firstLine="0"/>
      </w:pPr>
      <w:r w:rsidRPr="00B33F9C">
        <w:rPr>
          <w:noProof/>
          <w:lang w:val="es-ES" w:eastAsia="en-US"/>
        </w:rPr>
        <w:pict>
          <v:shape id="_x0000_s410195" type="#_x0000_t202" style="position:absolute;left:0;text-align:left;margin-left:183.05pt;margin-top:19.65pt;width:26.1pt;height:19.45pt;z-index:251821568;mso-height-percent:200;mso-height-percent:200;mso-width-relative:margin;mso-height-relative:margin" stroked="f">
            <v:textbox style="mso-fit-shape-to-text:t">
              <w:txbxContent>
                <w:p w:rsidR="000302DD" w:rsidRPr="000302DD" w:rsidRDefault="000302DD">
                  <w:pPr>
                    <w:rPr>
                      <w:sz w:val="20"/>
                      <w:szCs w:val="20"/>
                    </w:rPr>
                  </w:pPr>
                  <w:r w:rsidRPr="000302DD">
                    <w:rPr>
                      <w:sz w:val="20"/>
                      <w:szCs w:val="20"/>
                    </w:rPr>
                    <w:t>16</w:t>
                  </w:r>
                </w:p>
              </w:txbxContent>
            </v:textbox>
          </v:shape>
        </w:pict>
      </w:r>
    </w:p>
    <w:p w:rsidR="00A26C6B" w:rsidRDefault="00A26C6B" w:rsidP="00A26C6B">
      <w:pPr>
        <w:pStyle w:val="Sangradetextonormal"/>
        <w:ind w:firstLine="0"/>
        <w:rPr>
          <w:sz w:val="22"/>
          <w:szCs w:val="22"/>
        </w:rPr>
      </w:pPr>
      <w:r>
        <w:lastRenderedPageBreak/>
        <w:t>Durante el año 2012</w:t>
      </w:r>
      <w:r w:rsidRPr="00DA433C">
        <w:rPr>
          <w:sz w:val="22"/>
          <w:szCs w:val="22"/>
        </w:rPr>
        <w:t xml:space="preserve">, los principales países de destino presentaron la siguiente estructura </w:t>
      </w:r>
    </w:p>
    <w:p w:rsidR="00A26C6B" w:rsidRPr="00DA433C" w:rsidRDefault="00A26C6B" w:rsidP="00A26C6B">
      <w:pPr>
        <w:pStyle w:val="Sangradetextonormal"/>
        <w:ind w:firstLine="0"/>
        <w:rPr>
          <w:sz w:val="22"/>
          <w:szCs w:val="22"/>
        </w:rPr>
      </w:pPr>
      <w:r w:rsidRPr="00DA433C">
        <w:rPr>
          <w:sz w:val="22"/>
          <w:szCs w:val="22"/>
        </w:rPr>
        <w:lastRenderedPageBreak/>
        <w:t>de adquisiciones, según productos:</w:t>
      </w:r>
    </w:p>
    <w:p w:rsidR="00A26C6B" w:rsidRPr="00DA433C" w:rsidRDefault="00A26C6B" w:rsidP="00A26C6B">
      <w:pPr>
        <w:pStyle w:val="Sangradetextonormal"/>
        <w:jc w:val="left"/>
        <w:rPr>
          <w:sz w:val="22"/>
          <w:szCs w:val="22"/>
        </w:rPr>
        <w:sectPr w:rsidR="00A26C6B" w:rsidRPr="00DA433C">
          <w:type w:val="continuous"/>
          <w:pgSz w:w="11907" w:h="16840" w:code="9"/>
          <w:pgMar w:top="1701" w:right="1418" w:bottom="1418" w:left="1701" w:header="1134" w:footer="1134" w:gutter="0"/>
          <w:paperSrc w:first="15"/>
          <w:cols w:num="2" w:space="720"/>
          <w:titlePg/>
        </w:sectPr>
      </w:pPr>
    </w:p>
    <w:p w:rsidR="00A26C6B" w:rsidRDefault="00D63A80" w:rsidP="00A26C6B">
      <w:pPr>
        <w:pStyle w:val="Sangradetextonormal"/>
        <w:ind w:firstLine="0"/>
        <w:jc w:val="center"/>
      </w:pPr>
      <w:r w:rsidRPr="00D63A80">
        <w:rPr>
          <w:noProof/>
        </w:rPr>
        <w:lastRenderedPageBreak/>
        <w:pict>
          <v:shape id="_x0000_s410105" type="#_x0000_t75" style="position:absolute;left:0;text-align:left;margin-left:55.3pt;margin-top:13.05pt;width:327.75pt;height:633.75pt;z-index:251813376">
            <v:imagedata r:id="rId99" o:title=""/>
          </v:shape>
          <o:OLEObject Type="Embed" ProgID="Excel.Sheet.12" ShapeID="_x0000_s410105" DrawAspect="Content" ObjectID="_1423063407" r:id="rId100"/>
        </w:pict>
      </w:r>
    </w:p>
    <w:p w:rsidR="0073266A" w:rsidRDefault="0073266A" w:rsidP="00A26C6B">
      <w:pPr>
        <w:pStyle w:val="Sangradetextonormal"/>
        <w:ind w:firstLine="0"/>
        <w:jc w:val="center"/>
      </w:pPr>
    </w:p>
    <w:p w:rsidR="00A26C6B" w:rsidRDefault="00A26C6B" w:rsidP="00A26C6B">
      <w:pPr>
        <w:pStyle w:val="Sangradetextonormal"/>
        <w:ind w:firstLine="0"/>
        <w:jc w:val="center"/>
      </w:pPr>
    </w:p>
    <w:p w:rsidR="005559C6" w:rsidRDefault="00D63A80" w:rsidP="005559C6">
      <w:pPr>
        <w:pStyle w:val="Sangradetextonormal"/>
        <w:ind w:firstLine="0"/>
        <w:sectPr w:rsidR="005559C6" w:rsidSect="009A1AFB">
          <w:type w:val="continuous"/>
          <w:pgSz w:w="11907" w:h="16840" w:code="9"/>
          <w:pgMar w:top="1701" w:right="1418" w:bottom="1418" w:left="1701" w:header="1134" w:footer="1134" w:gutter="0"/>
          <w:paperSrc w:first="15"/>
          <w:cols w:space="720"/>
          <w:titlePg/>
        </w:sectPr>
      </w:pPr>
      <w:r w:rsidRPr="00D63A80">
        <w:rPr>
          <w:noProof/>
          <w:lang w:val="es-ES" w:eastAsia="en-US"/>
        </w:rPr>
        <w:pict>
          <v:shape id="_x0000_s409702" type="#_x0000_t202" style="position:absolute;left:0;text-align:left;margin-left:419.25pt;margin-top:18.35pt;width:28.2pt;height:22.5pt;z-index:251798016;mso-width-relative:margin;mso-height-relative:margin" stroked="f">
            <v:textbox>
              <w:txbxContent>
                <w:p w:rsidR="00F2504B" w:rsidRPr="005559C6" w:rsidRDefault="00F2504B" w:rsidP="005559C6">
                  <w:pPr>
                    <w:rPr>
                      <w:szCs w:val="20"/>
                    </w:rPr>
                  </w:pPr>
                </w:p>
              </w:txbxContent>
            </v:textbox>
          </v:shape>
        </w:pict>
      </w:r>
      <w:r w:rsidRPr="00D63A80">
        <w:rPr>
          <w:noProof/>
          <w:lang w:val="es-ES" w:eastAsia="en-US"/>
        </w:rPr>
        <w:pict>
          <v:shape id="_x0000_s409651" type="#_x0000_t202" style="position:absolute;left:0;text-align:left;margin-left:421.95pt;margin-top:26pt;width:30.75pt;height:21pt;z-index:251783680;mso-width-relative:margin;mso-height-relative:margin" stroked="f">
            <v:textbox style="mso-next-textbox:#_x0000_s409651">
              <w:txbxContent>
                <w:p w:rsidR="00F2504B" w:rsidRPr="003F524A" w:rsidRDefault="00F2504B">
                  <w:pPr>
                    <w:rPr>
                      <w:sz w:val="20"/>
                      <w:szCs w:val="20"/>
                      <w:lang w:val="es-PE"/>
                    </w:rPr>
                  </w:pPr>
                </w:p>
              </w:txbxContent>
            </v:textbox>
          </v:shape>
        </w:pict>
      </w:r>
    </w:p>
    <w:p w:rsidR="0057590E" w:rsidRDefault="0057590E" w:rsidP="001A0A0D">
      <w:pPr>
        <w:pStyle w:val="Sangradetextonormal"/>
        <w:ind w:left="-794"/>
        <w:jc w:val="center"/>
      </w:pPr>
    </w:p>
    <w:p w:rsidR="00A26C6B" w:rsidRDefault="00A26C6B" w:rsidP="00A26C6B">
      <w:pPr>
        <w:pStyle w:val="Sangradetextonormal"/>
        <w:ind w:left="-794"/>
        <w:jc w:val="left"/>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A26C6B" w:rsidRDefault="00A26C6B" w:rsidP="001A0A0D">
      <w:pPr>
        <w:pStyle w:val="Sangradetextonormal"/>
        <w:ind w:left="-794"/>
        <w:jc w:val="center"/>
      </w:pPr>
    </w:p>
    <w:p w:rsidR="005559C6" w:rsidRDefault="005559C6" w:rsidP="001A0A0D">
      <w:pPr>
        <w:pStyle w:val="Sangradetextonormal"/>
        <w:ind w:left="-794"/>
        <w:jc w:val="center"/>
        <w:sectPr w:rsidR="005559C6" w:rsidSect="009A1AFB">
          <w:type w:val="continuous"/>
          <w:pgSz w:w="11907" w:h="16840" w:code="9"/>
          <w:pgMar w:top="1701" w:right="1418" w:bottom="1418" w:left="1701" w:header="1134" w:footer="1134" w:gutter="0"/>
          <w:paperSrc w:first="15"/>
          <w:cols w:space="720"/>
          <w:titlePg/>
        </w:sectPr>
      </w:pPr>
    </w:p>
    <w:p w:rsidR="0017506B" w:rsidRDefault="00D63A80"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r w:rsidRPr="00D63A80">
        <w:rPr>
          <w:noProof/>
          <w:lang w:val="es-PE" w:eastAsia="es-PE"/>
        </w:rPr>
        <w:lastRenderedPageBreak/>
        <w:pict>
          <v:shape id="_x0000_s409703" type="#_x0000_t202" style="position:absolute;left:0;text-align:left;margin-left:421.95pt;margin-top:7.1pt;width:28.2pt;height:22.5pt;z-index:251799040;mso-width-relative:margin;mso-height-relative:margin" stroked="f">
            <v:textbox>
              <w:txbxContent>
                <w:p w:rsidR="00F2504B" w:rsidRPr="004A4311" w:rsidRDefault="00F2504B" w:rsidP="004A4311">
                  <w:pPr>
                    <w:rPr>
                      <w:sz w:val="20"/>
                      <w:szCs w:val="20"/>
                      <w:lang w:val="es-PE"/>
                    </w:rPr>
                  </w:pPr>
                  <w:r w:rsidRPr="004A4311">
                    <w:rPr>
                      <w:sz w:val="20"/>
                      <w:szCs w:val="20"/>
                      <w:lang w:val="es-PE"/>
                    </w:rPr>
                    <w:t>1</w:t>
                  </w:r>
                  <w:r>
                    <w:rPr>
                      <w:sz w:val="20"/>
                      <w:szCs w:val="20"/>
                      <w:lang w:val="es-PE"/>
                    </w:rPr>
                    <w:t>7</w:t>
                  </w:r>
                </w:p>
              </w:txbxContent>
            </v:textbox>
          </v:shape>
        </w:pict>
      </w:r>
    </w:p>
    <w:p w:rsidR="00A26C6B" w:rsidRDefault="00A26C6B" w:rsidP="00A26C6B">
      <w:pPr>
        <w:pStyle w:val="Sangradetextonormal"/>
        <w:ind w:firstLine="0"/>
        <w:rPr>
          <w:sz w:val="22"/>
        </w:r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F143AB" w:rsidRDefault="00F143AB" w:rsidP="00396AC2">
      <w:pPr>
        <w:pStyle w:val="Sangradetextonormal"/>
        <w:ind w:firstLine="0"/>
        <w:rPr>
          <w:sz w:val="22"/>
        </w:rPr>
        <w:sectPr w:rsidR="00F143AB" w:rsidSect="002A14B6">
          <w:type w:val="continuous"/>
          <w:pgSz w:w="11907" w:h="16840" w:code="9"/>
          <w:pgMar w:top="1701" w:right="1418" w:bottom="1418" w:left="1701" w:header="1134" w:footer="1134" w:gutter="0"/>
          <w:paperSrc w:first="15"/>
          <w:cols w:num="2" w:space="720"/>
          <w:titlePg/>
        </w:sectPr>
      </w:pPr>
    </w:p>
    <w:p w:rsidR="00A52CE0" w:rsidRDefault="00A52CE0"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r w:rsidRPr="00C06FE8">
        <w:rPr>
          <w:color w:val="FF6600"/>
          <w:sz w:val="22"/>
        </w:rPr>
        <w:object w:dxaOrig="6835" w:dyaOrig="16514">
          <v:shape id="_x0000_i1049" type="#_x0000_t75" style="width:346.5pt;height:588pt" o:ole="">
            <v:imagedata r:id="rId101" o:title=""/>
          </v:shape>
          <o:OLEObject Type="Embed" ProgID="Excel.Sheet.12" ShapeID="_x0000_i1049" DrawAspect="Content" ObjectID="_1423063386" r:id="rId102"/>
        </w:object>
      </w:r>
    </w:p>
    <w:p w:rsidR="00A26C6B" w:rsidRDefault="00A26C6B" w:rsidP="00A52CE0">
      <w:pPr>
        <w:pStyle w:val="Sangradetextonormal"/>
        <w:ind w:firstLine="0"/>
        <w:jc w:val="center"/>
        <w:rPr>
          <w:color w:val="FF6600"/>
          <w:sz w:val="22"/>
        </w:rPr>
      </w:pPr>
    </w:p>
    <w:p w:rsidR="00A26C6B" w:rsidRDefault="00A26C6B" w:rsidP="00A52CE0">
      <w:pPr>
        <w:pStyle w:val="Sangradetextonormal"/>
        <w:ind w:firstLine="0"/>
        <w:jc w:val="center"/>
        <w:rPr>
          <w:color w:val="FF6600"/>
          <w:sz w:val="22"/>
        </w:rPr>
      </w:pPr>
    </w:p>
    <w:p w:rsidR="00803BBF" w:rsidRDefault="00803BBF" w:rsidP="00A52CE0">
      <w:pPr>
        <w:pStyle w:val="Sangradetextonormal"/>
        <w:ind w:firstLine="0"/>
        <w:jc w:val="center"/>
        <w:rPr>
          <w:sz w:val="22"/>
        </w:rPr>
        <w:sectPr w:rsidR="00803BBF" w:rsidSect="00A52CE0">
          <w:type w:val="continuous"/>
          <w:pgSz w:w="11907" w:h="16840" w:code="9"/>
          <w:pgMar w:top="1701" w:right="1418" w:bottom="1418" w:left="1701" w:header="1134" w:footer="1134" w:gutter="0"/>
          <w:paperSrc w:first="15"/>
          <w:cols w:space="720"/>
          <w:titlePg/>
        </w:sect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852557" w:rsidRPr="00B609AB" w:rsidRDefault="00852557" w:rsidP="001E77EA">
      <w:pPr>
        <w:pStyle w:val="Ttulo2"/>
        <w:numPr>
          <w:ilvl w:val="1"/>
          <w:numId w:val="1"/>
        </w:numPr>
        <w:jc w:val="left"/>
        <w:rPr>
          <w:rFonts w:ascii="Times New Roman" w:hAnsi="Times New Roman"/>
          <w:sz w:val="22"/>
        </w:rPr>
      </w:pPr>
      <w:r w:rsidRPr="00B609AB">
        <w:rPr>
          <w:rFonts w:ascii="Times New Roman" w:hAnsi="Times New Roman"/>
          <w:sz w:val="22"/>
        </w:rPr>
        <w:lastRenderedPageBreak/>
        <w:t xml:space="preserve">Importaciones </w:t>
      </w:r>
    </w:p>
    <w:p w:rsidR="001E77EA" w:rsidRPr="001E77EA" w:rsidRDefault="001E77EA" w:rsidP="001E77EA">
      <w:pPr>
        <w:pStyle w:val="Prrafodelista"/>
        <w:ind w:left="705"/>
        <w:rPr>
          <w:lang w:val="es-ES_tradnl"/>
        </w:rPr>
      </w:pP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A26C6B" w:rsidRDefault="00A26C6B" w:rsidP="00A26C6B">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diciembre</w:t>
      </w:r>
      <w:r w:rsidRPr="00F6643F">
        <w:rPr>
          <w:rFonts w:ascii="Times New Roman" w:hAnsi="Times New Roman"/>
          <w:sz w:val="22"/>
        </w:rPr>
        <w:t xml:space="preserve">, las importaciones por </w:t>
      </w:r>
      <w:r>
        <w:rPr>
          <w:rFonts w:ascii="Times New Roman" w:hAnsi="Times New Roman"/>
          <w:sz w:val="22"/>
        </w:rPr>
        <w:t xml:space="preserve">las aduanas de </w:t>
      </w:r>
      <w:r w:rsidRPr="00F6643F">
        <w:rPr>
          <w:rFonts w:ascii="Times New Roman" w:hAnsi="Times New Roman"/>
          <w:sz w:val="22"/>
        </w:rPr>
        <w:t>Piura fueron de US$</w:t>
      </w:r>
      <w:r>
        <w:rPr>
          <w:rFonts w:ascii="Times New Roman" w:hAnsi="Times New Roman"/>
          <w:sz w:val="22"/>
        </w:rPr>
        <w:t xml:space="preserve">65,8 </w:t>
      </w:r>
      <w:r w:rsidRPr="00F6643F">
        <w:rPr>
          <w:rFonts w:ascii="Times New Roman" w:hAnsi="Times New Roman"/>
          <w:sz w:val="22"/>
        </w:rPr>
        <w:t xml:space="preserve">millones, </w:t>
      </w:r>
      <w:r>
        <w:rPr>
          <w:rFonts w:ascii="Times New Roman" w:hAnsi="Times New Roman"/>
          <w:sz w:val="22"/>
        </w:rPr>
        <w:t>siendo inferiores en 56,4 por ciento a las</w:t>
      </w:r>
      <w:r w:rsidRPr="00F6643F">
        <w:rPr>
          <w:rFonts w:ascii="Times New Roman" w:hAnsi="Times New Roman"/>
          <w:sz w:val="22"/>
        </w:rPr>
        <w:t xml:space="preserve"> registradas en igual mes del año pasado; </w:t>
      </w:r>
      <w:r>
        <w:rPr>
          <w:rFonts w:ascii="Times New Roman" w:hAnsi="Times New Roman"/>
          <w:sz w:val="22"/>
        </w:rPr>
        <w:t>por la meno</w:t>
      </w:r>
      <w:r w:rsidRPr="00F6643F">
        <w:rPr>
          <w:rFonts w:ascii="Times New Roman" w:hAnsi="Times New Roman"/>
          <w:sz w:val="22"/>
        </w:rPr>
        <w:t>r adquisici</w:t>
      </w:r>
      <w:r>
        <w:rPr>
          <w:rFonts w:ascii="Times New Roman" w:hAnsi="Times New Roman"/>
          <w:sz w:val="22"/>
        </w:rPr>
        <w:t>ó</w:t>
      </w:r>
      <w:r w:rsidRPr="00F6643F">
        <w:rPr>
          <w:rFonts w:ascii="Times New Roman" w:hAnsi="Times New Roman"/>
          <w:sz w:val="22"/>
        </w:rPr>
        <w:t xml:space="preserve">n de </w:t>
      </w:r>
      <w:r>
        <w:rPr>
          <w:rFonts w:ascii="Times New Roman" w:hAnsi="Times New Roman"/>
          <w:sz w:val="22"/>
        </w:rPr>
        <w:t xml:space="preserve">materias primas </w:t>
      </w:r>
      <w:r>
        <w:rPr>
          <w:rFonts w:ascii="Times New Roman" w:hAnsi="Times New Roman"/>
          <w:sz w:val="22"/>
        </w:rPr>
        <w:lastRenderedPageBreak/>
        <w:t xml:space="preserve">y productos intermedios (-63,6 </w:t>
      </w:r>
      <w:r w:rsidRPr="00F6643F">
        <w:rPr>
          <w:rFonts w:ascii="Times New Roman" w:hAnsi="Times New Roman"/>
          <w:sz w:val="22"/>
        </w:rPr>
        <w:t>por ciento)</w:t>
      </w:r>
      <w:r>
        <w:rPr>
          <w:rFonts w:ascii="Times New Roman" w:hAnsi="Times New Roman"/>
          <w:sz w:val="22"/>
        </w:rPr>
        <w:t>,</w:t>
      </w:r>
      <w:r w:rsidRPr="00F6643F">
        <w:rPr>
          <w:rFonts w:ascii="Times New Roman" w:hAnsi="Times New Roman"/>
          <w:sz w:val="22"/>
        </w:rPr>
        <w:t xml:space="preserve"> </w:t>
      </w:r>
      <w:r>
        <w:rPr>
          <w:rFonts w:ascii="Times New Roman" w:hAnsi="Times New Roman"/>
          <w:sz w:val="22"/>
        </w:rPr>
        <w:t xml:space="preserve">que contrarrestó el aumento en bienes de consumo (130,6 por </w:t>
      </w:r>
      <w:r w:rsidRPr="00F6643F">
        <w:rPr>
          <w:rFonts w:ascii="Times New Roman" w:hAnsi="Times New Roman"/>
          <w:sz w:val="22"/>
        </w:rPr>
        <w:t>ciento)</w:t>
      </w:r>
      <w:r>
        <w:rPr>
          <w:rFonts w:ascii="Times New Roman" w:hAnsi="Times New Roman"/>
          <w:sz w:val="22"/>
        </w:rPr>
        <w:t xml:space="preserve"> y </w:t>
      </w:r>
      <w:r w:rsidRPr="00F6643F">
        <w:rPr>
          <w:rFonts w:ascii="Times New Roman" w:hAnsi="Times New Roman"/>
          <w:sz w:val="22"/>
        </w:rPr>
        <w:t>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111,3 </w:t>
      </w:r>
      <w:r w:rsidRPr="00F6643F">
        <w:rPr>
          <w:rFonts w:ascii="Times New Roman" w:hAnsi="Times New Roman"/>
          <w:sz w:val="22"/>
        </w:rPr>
        <w:t>por ciento).</w:t>
      </w:r>
    </w:p>
    <w:p w:rsidR="001E77EA" w:rsidRDefault="001E77EA" w:rsidP="007D136B">
      <w:pPr>
        <w:pStyle w:val="Textoindependiente"/>
        <w:ind w:firstLine="709"/>
        <w:rPr>
          <w:sz w:val="22"/>
        </w:rPr>
        <w:sectPr w:rsidR="001E77EA" w:rsidSect="001E77EA">
          <w:type w:val="continuous"/>
          <w:pgSz w:w="11907" w:h="16840" w:code="9"/>
          <w:pgMar w:top="1701" w:right="1418" w:bottom="1418" w:left="1701" w:header="1134" w:footer="1134" w:gutter="0"/>
          <w:paperSrc w:first="15"/>
          <w:cols w:num="2" w:space="708"/>
          <w:titlePg/>
        </w:sectPr>
      </w:pPr>
    </w:p>
    <w:p w:rsidR="00D972D0" w:rsidRDefault="00D972D0" w:rsidP="007D136B">
      <w:pPr>
        <w:pStyle w:val="Textoindependiente"/>
        <w:ind w:firstLine="709"/>
        <w:rPr>
          <w:sz w:val="22"/>
        </w:rPr>
      </w:pPr>
    </w:p>
    <w:p w:rsidR="002C4CFF" w:rsidRDefault="002C4CFF" w:rsidP="007D136B">
      <w:pPr>
        <w:pStyle w:val="Textoindependiente"/>
        <w:ind w:firstLine="709"/>
        <w:rPr>
          <w:sz w:val="22"/>
        </w:rPr>
      </w:pPr>
    </w:p>
    <w:p w:rsidR="002C4CFF" w:rsidRDefault="002C4CFF" w:rsidP="007D136B">
      <w:pPr>
        <w:pStyle w:val="Textoindependiente"/>
        <w:ind w:firstLine="709"/>
        <w:rPr>
          <w:sz w:val="22"/>
        </w:rPr>
        <w:sectPr w:rsidR="002C4CFF">
          <w:type w:val="continuous"/>
          <w:pgSz w:w="11907" w:h="16840" w:code="9"/>
          <w:pgMar w:top="1701" w:right="1418" w:bottom="1418" w:left="1701" w:header="1134" w:footer="1134" w:gutter="0"/>
          <w:paperSrc w:first="15"/>
          <w:cols w:num="2" w:space="708"/>
          <w:titlePg/>
        </w:sectPr>
      </w:pPr>
    </w:p>
    <w:p w:rsidR="00A05534" w:rsidRDefault="00A26C6B" w:rsidP="00D972D0">
      <w:pPr>
        <w:pStyle w:val="Textoindependiente"/>
        <w:jc w:val="center"/>
        <w:rPr>
          <w:sz w:val="22"/>
        </w:rPr>
      </w:pPr>
      <w:r w:rsidRPr="00C06FE8">
        <w:rPr>
          <w:sz w:val="22"/>
        </w:rPr>
        <w:object w:dxaOrig="10570" w:dyaOrig="6961">
          <v:shape id="_x0000_i1050" type="#_x0000_t75" style="width:462pt;height:331.5pt" o:ole="">
            <v:imagedata r:id="rId103" o:title=""/>
          </v:shape>
          <o:OLEObject Type="Embed" ProgID="Excel.Sheet.12" ShapeID="_x0000_i1050" DrawAspect="Content" ObjectID="_1423063387" r:id="rId104"/>
        </w:object>
      </w:r>
    </w:p>
    <w:p w:rsidR="002C4CFF" w:rsidRDefault="002C4CFF" w:rsidP="007D136B">
      <w:pPr>
        <w:pStyle w:val="Textoindependiente"/>
        <w:ind w:left="-794" w:firstLine="709"/>
        <w:jc w:val="center"/>
        <w:rPr>
          <w:sz w:val="22"/>
        </w:rPr>
        <w:sectPr w:rsidR="002C4CFF" w:rsidSect="007D136B">
          <w:type w:val="continuous"/>
          <w:pgSz w:w="11907" w:h="16840" w:code="9"/>
          <w:pgMar w:top="1701" w:right="1418" w:bottom="1418" w:left="1701" w:header="1134" w:footer="1134" w:gutter="0"/>
          <w:paperSrc w:first="15"/>
          <w:cols w:space="720"/>
          <w:titlePg/>
        </w:sectPr>
      </w:pPr>
    </w:p>
    <w:p w:rsidR="00C878CA" w:rsidRDefault="00A26C6B" w:rsidP="00A26C6B">
      <w:pPr>
        <w:pStyle w:val="Sangradetextonormal"/>
        <w:ind w:firstLine="0"/>
        <w:rPr>
          <w:sz w:val="22"/>
        </w:rPr>
        <w:sectPr w:rsidR="00C878CA" w:rsidSect="00C878CA">
          <w:type w:val="continuous"/>
          <w:pgSz w:w="11907" w:h="16840" w:code="9"/>
          <w:pgMar w:top="1701" w:right="1418" w:bottom="1418" w:left="1701" w:header="1134" w:footer="1134" w:gutter="0"/>
          <w:paperSrc w:first="15"/>
          <w:cols w:num="2" w:space="708"/>
          <w:titlePg/>
        </w:sectPr>
      </w:pPr>
      <w:r>
        <w:rPr>
          <w:sz w:val="22"/>
        </w:rPr>
        <w:lastRenderedPageBreak/>
        <w:t xml:space="preserve">En el año 2012, las importaciones decrecieron en 7,0 por ciento respecto del año anterior. La participación relativa de las </w:t>
      </w:r>
      <w:r>
        <w:rPr>
          <w:sz w:val="22"/>
        </w:rPr>
        <w:lastRenderedPageBreak/>
        <w:t>materias primas fue de 75,2 por ciento frente a 18,3 por ciento de los bienes de capital y 6,5 por ciento de los bienes de consumo.</w:t>
      </w:r>
    </w:p>
    <w:p w:rsidR="00A26C6B" w:rsidRDefault="00A26C6B" w:rsidP="00A26C6B">
      <w:pPr>
        <w:pStyle w:val="Sangradetextonormal"/>
        <w:ind w:firstLine="0"/>
        <w:rPr>
          <w:sz w:val="22"/>
        </w:rPr>
      </w:pPr>
    </w:p>
    <w:p w:rsidR="001E77EA" w:rsidRDefault="001E77EA" w:rsidP="004A74AB">
      <w:pPr>
        <w:pStyle w:val="Sangradetextonormal"/>
        <w:ind w:firstLine="0"/>
        <w:rPr>
          <w:sz w:val="22"/>
        </w:rPr>
        <w:sectPr w:rsidR="001E77EA" w:rsidSect="001E77EA">
          <w:type w:val="continuous"/>
          <w:pgSz w:w="11907" w:h="16840" w:code="9"/>
          <w:pgMar w:top="1701" w:right="1418" w:bottom="1418" w:left="1701" w:header="1134" w:footer="1134" w:gutter="0"/>
          <w:paperSrc w:first="15"/>
          <w:cols w:num="2" w:space="720"/>
          <w:titlePg/>
        </w:sectPr>
      </w:pPr>
    </w:p>
    <w:p w:rsidR="00D972D0" w:rsidRDefault="00D63A80" w:rsidP="004A74AB">
      <w:pPr>
        <w:pStyle w:val="Sangradetextonormal"/>
        <w:ind w:firstLine="0"/>
        <w:jc w:val="center"/>
        <w:rPr>
          <w:sz w:val="22"/>
        </w:rPr>
      </w:pPr>
      <w:r>
        <w:rPr>
          <w:noProof/>
          <w:sz w:val="22"/>
          <w:lang w:val="es-PE" w:eastAsia="es-PE"/>
        </w:rPr>
        <w:lastRenderedPageBreak/>
        <w:pict>
          <v:shape id="_x0000_s410107" type="#_x0000_t75" style="position:absolute;left:0;text-align:left;margin-left:-6.25pt;margin-top:.3pt;width:460.2pt;height:187.15pt;z-index:251814400">
            <v:imagedata r:id="rId105" o:title=""/>
          </v:shape>
          <o:OLEObject Type="Embed" ProgID="Excel.Sheet.12" ShapeID="_x0000_s410107" DrawAspect="Content" ObjectID="_1423063408" r:id="rId106"/>
        </w:pict>
      </w: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pPr>
    </w:p>
    <w:p w:rsidR="00126EC3" w:rsidRDefault="00126EC3" w:rsidP="004A74AB">
      <w:pPr>
        <w:pStyle w:val="Sangradetextonormal"/>
        <w:ind w:firstLine="0"/>
        <w:jc w:val="center"/>
        <w:rPr>
          <w:sz w:val="22"/>
        </w:rPr>
        <w:sectPr w:rsidR="00126EC3">
          <w:type w:val="continuous"/>
          <w:pgSz w:w="11907" w:h="16840" w:code="9"/>
          <w:pgMar w:top="1701" w:right="1418" w:bottom="1418" w:left="1701" w:header="1134" w:footer="1134" w:gutter="0"/>
          <w:paperSrc w:first="15"/>
          <w:cols w:space="720"/>
          <w:titlePg/>
        </w:sectPr>
      </w:pP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6A4B81" w:rsidRPr="00970D17" w:rsidRDefault="006A4B81" w:rsidP="006A4B81">
      <w:pPr>
        <w:pStyle w:val="Sangradetextonormal"/>
        <w:ind w:firstLine="0"/>
        <w:rPr>
          <w:sz w:val="22"/>
        </w:rPr>
      </w:pPr>
      <w:r w:rsidRPr="00970D17">
        <w:rPr>
          <w:sz w:val="22"/>
        </w:rPr>
        <w:lastRenderedPageBreak/>
        <w:t xml:space="preserve">En </w:t>
      </w:r>
      <w:r>
        <w:rPr>
          <w:sz w:val="22"/>
        </w:rPr>
        <w:t>el año 2012</w:t>
      </w:r>
      <w:r w:rsidRPr="00970D17">
        <w:rPr>
          <w:sz w:val="22"/>
        </w:rPr>
        <w:t>, los principales países de origen de las importaciones por las aduanas de Paita y Talara fueron:</w:t>
      </w:r>
    </w:p>
    <w:p w:rsidR="006A4B81" w:rsidRPr="00970D17" w:rsidRDefault="006A4B81" w:rsidP="006A4B81">
      <w:pPr>
        <w:pStyle w:val="Sangradetextonormal"/>
        <w:ind w:firstLine="0"/>
        <w:rPr>
          <w:bCs/>
          <w:snapToGrid w:val="0"/>
          <w:sz w:val="22"/>
        </w:rPr>
      </w:pPr>
    </w:p>
    <w:p w:rsidR="006A4B81" w:rsidRPr="00DF0FA0" w:rsidRDefault="006A4B81" w:rsidP="006A4B81">
      <w:pPr>
        <w:pStyle w:val="Sangradetextonormal"/>
        <w:ind w:firstLine="0"/>
        <w:rPr>
          <w:bCs/>
          <w:snapToGrid w:val="0"/>
          <w:sz w:val="22"/>
        </w:rPr>
      </w:pPr>
      <w:r w:rsidRPr="00DF0FA0">
        <w:rPr>
          <w:bCs/>
          <w:snapToGrid w:val="0"/>
          <w:sz w:val="22"/>
        </w:rPr>
        <w:t>China, con US$34</w:t>
      </w:r>
      <w:r>
        <w:rPr>
          <w:bCs/>
          <w:snapToGrid w:val="0"/>
          <w:sz w:val="22"/>
        </w:rPr>
        <w:t>9</w:t>
      </w:r>
      <w:r w:rsidRPr="00DF0FA0">
        <w:rPr>
          <w:bCs/>
          <w:snapToGrid w:val="0"/>
          <w:sz w:val="22"/>
        </w:rPr>
        <w:t>,</w:t>
      </w:r>
      <w:r>
        <w:rPr>
          <w:bCs/>
          <w:snapToGrid w:val="0"/>
          <w:sz w:val="22"/>
        </w:rPr>
        <w:t>4</w:t>
      </w:r>
      <w:r w:rsidRPr="00DF0FA0">
        <w:rPr>
          <w:bCs/>
          <w:snapToGrid w:val="0"/>
          <w:sz w:val="22"/>
        </w:rPr>
        <w:t xml:space="preserve"> millones </w:t>
      </w:r>
      <w:r>
        <w:rPr>
          <w:bCs/>
          <w:snapToGrid w:val="0"/>
          <w:sz w:val="22"/>
        </w:rPr>
        <w:t>de</w:t>
      </w:r>
      <w:r w:rsidRPr="00DF0FA0">
        <w:rPr>
          <w:bCs/>
          <w:snapToGrid w:val="0"/>
          <w:sz w:val="22"/>
        </w:rPr>
        <w:t xml:space="preserve"> petróleo y derivados (US$2</w:t>
      </w:r>
      <w:r>
        <w:rPr>
          <w:bCs/>
          <w:snapToGrid w:val="0"/>
          <w:sz w:val="22"/>
        </w:rPr>
        <w:t>83</w:t>
      </w:r>
      <w:r w:rsidRPr="00DF0FA0">
        <w:rPr>
          <w:bCs/>
          <w:snapToGrid w:val="0"/>
          <w:sz w:val="22"/>
        </w:rPr>
        <w:t xml:space="preserve"> millones), </w:t>
      </w:r>
      <w:r>
        <w:rPr>
          <w:bCs/>
          <w:snapToGrid w:val="0"/>
          <w:sz w:val="22"/>
        </w:rPr>
        <w:t xml:space="preserve">torres y castilletes de fundición de acero (US$26,8 millones), </w:t>
      </w:r>
      <w:r w:rsidRPr="00DF0FA0">
        <w:rPr>
          <w:bCs/>
          <w:snapToGrid w:val="0"/>
          <w:sz w:val="22"/>
        </w:rPr>
        <w:t>tubos para perforación de petróleo o gas (US$</w:t>
      </w:r>
      <w:r>
        <w:rPr>
          <w:bCs/>
          <w:snapToGrid w:val="0"/>
          <w:sz w:val="22"/>
        </w:rPr>
        <w:t>7,2</w:t>
      </w:r>
      <w:r w:rsidRPr="00DF0FA0">
        <w:rPr>
          <w:bCs/>
          <w:snapToGrid w:val="0"/>
          <w:sz w:val="22"/>
        </w:rPr>
        <w:t xml:space="preserve"> millones), c</w:t>
      </w:r>
      <w:r>
        <w:rPr>
          <w:bCs/>
          <w:snapToGrid w:val="0"/>
          <w:sz w:val="22"/>
        </w:rPr>
        <w:t>i</w:t>
      </w:r>
      <w:r w:rsidRPr="00DF0FA0">
        <w:rPr>
          <w:bCs/>
          <w:snapToGrid w:val="0"/>
          <w:sz w:val="22"/>
        </w:rPr>
        <w:t>s</w:t>
      </w:r>
      <w:r>
        <w:rPr>
          <w:bCs/>
          <w:snapToGrid w:val="0"/>
          <w:sz w:val="22"/>
        </w:rPr>
        <w:t>t</w:t>
      </w:r>
      <w:r w:rsidRPr="00DF0FA0">
        <w:rPr>
          <w:bCs/>
          <w:snapToGrid w:val="0"/>
          <w:sz w:val="22"/>
        </w:rPr>
        <w:t>er</w:t>
      </w:r>
      <w:r>
        <w:rPr>
          <w:bCs/>
          <w:snapToGrid w:val="0"/>
          <w:sz w:val="22"/>
        </w:rPr>
        <w:t>n</w:t>
      </w:r>
      <w:r w:rsidRPr="00DF0FA0">
        <w:rPr>
          <w:bCs/>
          <w:snapToGrid w:val="0"/>
          <w:sz w:val="22"/>
        </w:rPr>
        <w:t xml:space="preserve">as y </w:t>
      </w:r>
      <w:r>
        <w:rPr>
          <w:bCs/>
          <w:snapToGrid w:val="0"/>
          <w:sz w:val="22"/>
        </w:rPr>
        <w:t>depósitos de hierro o acero</w:t>
      </w:r>
      <w:r w:rsidRPr="00DF0FA0">
        <w:rPr>
          <w:bCs/>
          <w:snapToGrid w:val="0"/>
          <w:sz w:val="22"/>
        </w:rPr>
        <w:t xml:space="preserve"> (US$</w:t>
      </w:r>
      <w:r>
        <w:rPr>
          <w:bCs/>
          <w:snapToGrid w:val="0"/>
          <w:sz w:val="22"/>
        </w:rPr>
        <w:t>4</w:t>
      </w:r>
      <w:r w:rsidRPr="00DF0FA0">
        <w:rPr>
          <w:bCs/>
          <w:snapToGrid w:val="0"/>
          <w:sz w:val="22"/>
        </w:rPr>
        <w:t>,</w:t>
      </w:r>
      <w:r>
        <w:rPr>
          <w:bCs/>
          <w:snapToGrid w:val="0"/>
          <w:sz w:val="22"/>
        </w:rPr>
        <w:t>1</w:t>
      </w:r>
      <w:r w:rsidRPr="00DF0FA0">
        <w:rPr>
          <w:bCs/>
          <w:snapToGrid w:val="0"/>
          <w:sz w:val="22"/>
        </w:rPr>
        <w:t xml:space="preserve"> millones), </w:t>
      </w:r>
      <w:r>
        <w:rPr>
          <w:bCs/>
          <w:snapToGrid w:val="0"/>
          <w:sz w:val="22"/>
        </w:rPr>
        <w:t>aparatos de transmisión de voz y comunicaciones (US$5,3 millones), e</w:t>
      </w:r>
      <w:r w:rsidRPr="00DF0FA0">
        <w:rPr>
          <w:bCs/>
          <w:snapToGrid w:val="0"/>
          <w:sz w:val="22"/>
        </w:rPr>
        <w:t xml:space="preserve">ntre otros. </w:t>
      </w:r>
    </w:p>
    <w:p w:rsidR="006A4B81" w:rsidRDefault="006A4B81" w:rsidP="006A4B81">
      <w:pPr>
        <w:pStyle w:val="Sangradetextonormal"/>
        <w:ind w:firstLine="0"/>
        <w:rPr>
          <w:bCs/>
          <w:snapToGrid w:val="0"/>
          <w:sz w:val="22"/>
        </w:rPr>
      </w:pPr>
    </w:p>
    <w:p w:rsidR="006A4B81" w:rsidRPr="00872E75" w:rsidRDefault="006A4B81" w:rsidP="006A4B81">
      <w:pPr>
        <w:pStyle w:val="Sangradetextonormal"/>
        <w:ind w:firstLine="0"/>
        <w:rPr>
          <w:bCs/>
          <w:snapToGrid w:val="0"/>
          <w:sz w:val="22"/>
        </w:rPr>
      </w:pPr>
      <w:r w:rsidRPr="00970D17">
        <w:rPr>
          <w:bCs/>
          <w:snapToGrid w:val="0"/>
          <w:sz w:val="22"/>
        </w:rPr>
        <w:t>Estados Unidos, con US$</w:t>
      </w:r>
      <w:r>
        <w:rPr>
          <w:bCs/>
          <w:snapToGrid w:val="0"/>
          <w:sz w:val="22"/>
        </w:rPr>
        <w:t>246,3</w:t>
      </w:r>
      <w:r w:rsidRPr="00970D17">
        <w:rPr>
          <w:bCs/>
          <w:snapToGrid w:val="0"/>
          <w:sz w:val="22"/>
        </w:rPr>
        <w:t xml:space="preserve"> millones </w:t>
      </w:r>
      <w:r>
        <w:rPr>
          <w:bCs/>
          <w:snapToGrid w:val="0"/>
          <w:sz w:val="22"/>
        </w:rPr>
        <w:t xml:space="preserve">de aceites crudos de petróleo (US$61,0 millones), turbinas de gas (US$24,0 millones), generadores eléctricos (US$8,2 millones), </w:t>
      </w:r>
      <w:r w:rsidRPr="00970D17">
        <w:rPr>
          <w:bCs/>
          <w:snapToGrid w:val="0"/>
          <w:sz w:val="22"/>
        </w:rPr>
        <w:t>úrea y otros abonos (US$</w:t>
      </w:r>
      <w:r>
        <w:rPr>
          <w:bCs/>
          <w:snapToGrid w:val="0"/>
          <w:sz w:val="22"/>
        </w:rPr>
        <w:t xml:space="preserve">18,1 </w:t>
      </w:r>
      <w:r w:rsidRPr="00970D17">
        <w:rPr>
          <w:bCs/>
          <w:snapToGrid w:val="0"/>
          <w:sz w:val="22"/>
        </w:rPr>
        <w:t>millones)</w:t>
      </w:r>
      <w:r>
        <w:rPr>
          <w:bCs/>
          <w:snapToGrid w:val="0"/>
          <w:sz w:val="22"/>
        </w:rPr>
        <w:t>,</w:t>
      </w:r>
      <w:r w:rsidRPr="00117F0E">
        <w:rPr>
          <w:bCs/>
          <w:snapToGrid w:val="0"/>
          <w:sz w:val="22"/>
        </w:rPr>
        <w:t xml:space="preserve"> </w:t>
      </w:r>
      <w:r>
        <w:rPr>
          <w:bCs/>
          <w:snapToGrid w:val="0"/>
          <w:sz w:val="22"/>
        </w:rPr>
        <w:t xml:space="preserve">plásticos y sus manufacturas (US$7,7 millones), </w:t>
      </w:r>
      <w:r w:rsidRPr="00970D17">
        <w:rPr>
          <w:bCs/>
          <w:snapToGrid w:val="0"/>
          <w:sz w:val="22"/>
        </w:rPr>
        <w:t>aceite de soja (US$</w:t>
      </w:r>
      <w:r>
        <w:rPr>
          <w:bCs/>
          <w:snapToGrid w:val="0"/>
          <w:sz w:val="22"/>
        </w:rPr>
        <w:t xml:space="preserve">7,5 </w:t>
      </w:r>
      <w:r w:rsidRPr="00970D17">
        <w:rPr>
          <w:bCs/>
          <w:snapToGrid w:val="0"/>
          <w:sz w:val="22"/>
        </w:rPr>
        <w:t>millones),</w:t>
      </w:r>
      <w:r>
        <w:rPr>
          <w:bCs/>
          <w:snapToGrid w:val="0"/>
          <w:sz w:val="22"/>
        </w:rPr>
        <w:t xml:space="preserve"> biodiesel y sus mezclas (US$5,9 millones), </w:t>
      </w:r>
      <w:r w:rsidRPr="00970D17">
        <w:rPr>
          <w:bCs/>
          <w:snapToGrid w:val="0"/>
          <w:sz w:val="22"/>
        </w:rPr>
        <w:t xml:space="preserve">alcohol </w:t>
      </w:r>
      <w:r>
        <w:rPr>
          <w:bCs/>
          <w:snapToGrid w:val="0"/>
          <w:sz w:val="22"/>
        </w:rPr>
        <w:t>carburante</w:t>
      </w:r>
      <w:r w:rsidRPr="00872E75">
        <w:rPr>
          <w:bCs/>
          <w:snapToGrid w:val="0"/>
          <w:sz w:val="22"/>
        </w:rPr>
        <w:t xml:space="preserve"> (US$2,1 millones), algodón (US$</w:t>
      </w:r>
      <w:r>
        <w:rPr>
          <w:bCs/>
          <w:snapToGrid w:val="0"/>
          <w:sz w:val="22"/>
        </w:rPr>
        <w:t>6</w:t>
      </w:r>
      <w:r w:rsidRPr="00872E75">
        <w:rPr>
          <w:bCs/>
          <w:snapToGrid w:val="0"/>
          <w:sz w:val="22"/>
        </w:rPr>
        <w:t>,</w:t>
      </w:r>
      <w:r>
        <w:rPr>
          <w:bCs/>
          <w:snapToGrid w:val="0"/>
          <w:sz w:val="22"/>
        </w:rPr>
        <w:t>6</w:t>
      </w:r>
      <w:r w:rsidRPr="00872E75">
        <w:rPr>
          <w:bCs/>
          <w:snapToGrid w:val="0"/>
          <w:sz w:val="22"/>
        </w:rPr>
        <w:t xml:space="preserve"> millones), trigo (US$</w:t>
      </w:r>
      <w:r>
        <w:rPr>
          <w:bCs/>
          <w:snapToGrid w:val="0"/>
          <w:sz w:val="22"/>
        </w:rPr>
        <w:t>3</w:t>
      </w:r>
      <w:r w:rsidRPr="00872E75">
        <w:rPr>
          <w:bCs/>
          <w:snapToGrid w:val="0"/>
          <w:sz w:val="22"/>
        </w:rPr>
        <w:t>,</w:t>
      </w:r>
      <w:r>
        <w:rPr>
          <w:bCs/>
          <w:snapToGrid w:val="0"/>
          <w:sz w:val="22"/>
        </w:rPr>
        <w:t>9</w:t>
      </w:r>
      <w:r w:rsidRPr="00872E75">
        <w:rPr>
          <w:bCs/>
          <w:snapToGrid w:val="0"/>
          <w:sz w:val="22"/>
        </w:rPr>
        <w:t xml:space="preserve"> millones)</w:t>
      </w:r>
      <w:r>
        <w:rPr>
          <w:bCs/>
          <w:snapToGrid w:val="0"/>
          <w:sz w:val="22"/>
        </w:rPr>
        <w:t xml:space="preserve">, pescado congelado </w:t>
      </w:r>
      <w:r>
        <w:rPr>
          <w:bCs/>
          <w:snapToGrid w:val="0"/>
          <w:sz w:val="22"/>
        </w:rPr>
        <w:lastRenderedPageBreak/>
        <w:t>(US$9,7 millones), frijoles (US$2 millones), madera en bruto (US$2,8 millones), vehículos (US$3,6 millones), entre otros.</w:t>
      </w:r>
    </w:p>
    <w:p w:rsidR="006A4B81" w:rsidRPr="00970D17" w:rsidRDefault="006A4B81" w:rsidP="006A4B81">
      <w:pPr>
        <w:pStyle w:val="Sangradetextonormal"/>
        <w:ind w:firstLine="0"/>
        <w:rPr>
          <w:bCs/>
          <w:snapToGrid w:val="0"/>
          <w:sz w:val="22"/>
        </w:rPr>
      </w:pPr>
    </w:p>
    <w:p w:rsidR="006A4B81" w:rsidRPr="00970D17" w:rsidRDefault="006A4B81" w:rsidP="006A4B81">
      <w:pPr>
        <w:pStyle w:val="Sangradetextonormal"/>
        <w:ind w:firstLine="0"/>
        <w:rPr>
          <w:bCs/>
          <w:snapToGrid w:val="0"/>
          <w:sz w:val="22"/>
        </w:rPr>
      </w:pPr>
      <w:r>
        <w:rPr>
          <w:bCs/>
          <w:snapToGrid w:val="0"/>
          <w:sz w:val="22"/>
        </w:rPr>
        <w:t>Ecuador,</w:t>
      </w:r>
      <w:r w:rsidRPr="00970D17">
        <w:rPr>
          <w:bCs/>
          <w:snapToGrid w:val="0"/>
          <w:sz w:val="22"/>
        </w:rPr>
        <w:t xml:space="preserve"> con US$</w:t>
      </w:r>
      <w:r>
        <w:rPr>
          <w:bCs/>
          <w:snapToGrid w:val="0"/>
          <w:sz w:val="22"/>
        </w:rPr>
        <w:t xml:space="preserve">156,3 </w:t>
      </w:r>
      <w:r w:rsidRPr="00970D17">
        <w:rPr>
          <w:bCs/>
          <w:snapToGrid w:val="0"/>
          <w:sz w:val="22"/>
        </w:rPr>
        <w:t xml:space="preserve">millones </w:t>
      </w:r>
      <w:r>
        <w:rPr>
          <w:bCs/>
          <w:snapToGrid w:val="0"/>
          <w:sz w:val="22"/>
        </w:rPr>
        <w:t>de petróleo</w:t>
      </w:r>
      <w:r w:rsidRPr="00970D17">
        <w:rPr>
          <w:bCs/>
          <w:snapToGrid w:val="0"/>
          <w:sz w:val="22"/>
        </w:rPr>
        <w:t xml:space="preserve"> (US$</w:t>
      </w:r>
      <w:r>
        <w:rPr>
          <w:bCs/>
          <w:snapToGrid w:val="0"/>
          <w:sz w:val="22"/>
        </w:rPr>
        <w:t xml:space="preserve">145,4 </w:t>
      </w:r>
      <w:r w:rsidRPr="00970D17">
        <w:rPr>
          <w:bCs/>
          <w:snapToGrid w:val="0"/>
          <w:sz w:val="22"/>
        </w:rPr>
        <w:t>millones)</w:t>
      </w:r>
      <w:r>
        <w:rPr>
          <w:bCs/>
          <w:snapToGrid w:val="0"/>
          <w:sz w:val="22"/>
        </w:rPr>
        <w:t>, biodiesel (US$5,3 millones), extractos y esencias de café (US$3,3 millones).</w:t>
      </w:r>
    </w:p>
    <w:p w:rsidR="006A4B81" w:rsidRDefault="006A4B81" w:rsidP="006A4B81">
      <w:pPr>
        <w:pStyle w:val="Sangradetextonormal"/>
        <w:ind w:firstLine="0"/>
        <w:rPr>
          <w:bCs/>
          <w:snapToGrid w:val="0"/>
          <w:sz w:val="22"/>
        </w:rPr>
      </w:pPr>
    </w:p>
    <w:p w:rsidR="006A4B81" w:rsidRPr="00630DC2" w:rsidRDefault="006A4B81" w:rsidP="006A4B81">
      <w:pPr>
        <w:pStyle w:val="Sangradetextonormal"/>
        <w:ind w:firstLine="0"/>
        <w:rPr>
          <w:bCs/>
          <w:snapToGrid w:val="0"/>
          <w:sz w:val="22"/>
        </w:rPr>
      </w:pPr>
      <w:r w:rsidRPr="00630DC2">
        <w:rPr>
          <w:bCs/>
          <w:snapToGrid w:val="0"/>
          <w:sz w:val="22"/>
        </w:rPr>
        <w:t>Suiza, con US$1</w:t>
      </w:r>
      <w:r>
        <w:rPr>
          <w:bCs/>
          <w:snapToGrid w:val="0"/>
          <w:sz w:val="22"/>
        </w:rPr>
        <w:t>57</w:t>
      </w:r>
      <w:r w:rsidRPr="00630DC2">
        <w:rPr>
          <w:bCs/>
          <w:snapToGrid w:val="0"/>
          <w:sz w:val="22"/>
        </w:rPr>
        <w:t>,</w:t>
      </w:r>
      <w:r>
        <w:rPr>
          <w:bCs/>
          <w:snapToGrid w:val="0"/>
          <w:sz w:val="22"/>
        </w:rPr>
        <w:t>8</w:t>
      </w:r>
      <w:r w:rsidRPr="00630DC2">
        <w:rPr>
          <w:bCs/>
          <w:snapToGrid w:val="0"/>
          <w:sz w:val="22"/>
        </w:rPr>
        <w:t xml:space="preserve"> millones </w:t>
      </w:r>
      <w:r>
        <w:rPr>
          <w:bCs/>
          <w:snapToGrid w:val="0"/>
          <w:sz w:val="22"/>
        </w:rPr>
        <w:t>de</w:t>
      </w:r>
      <w:r w:rsidRPr="00630DC2">
        <w:rPr>
          <w:bCs/>
          <w:snapToGrid w:val="0"/>
          <w:sz w:val="22"/>
        </w:rPr>
        <w:t xml:space="preserve"> petróleo y derivados (US$</w:t>
      </w:r>
      <w:r>
        <w:rPr>
          <w:bCs/>
          <w:snapToGrid w:val="0"/>
          <w:sz w:val="22"/>
        </w:rPr>
        <w:t>76,0</w:t>
      </w:r>
      <w:r w:rsidRPr="00630DC2">
        <w:rPr>
          <w:bCs/>
          <w:snapToGrid w:val="0"/>
          <w:sz w:val="22"/>
        </w:rPr>
        <w:t xml:space="preserve"> millones), biodiesel y sus mezclas (US$</w:t>
      </w:r>
      <w:r>
        <w:rPr>
          <w:bCs/>
          <w:snapToGrid w:val="0"/>
          <w:sz w:val="22"/>
        </w:rPr>
        <w:t>50,5</w:t>
      </w:r>
      <w:r w:rsidRPr="00630DC2">
        <w:rPr>
          <w:bCs/>
          <w:snapToGrid w:val="0"/>
          <w:sz w:val="22"/>
        </w:rPr>
        <w:t xml:space="preserve"> millones), úrea y otros abonos (US$</w:t>
      </w:r>
      <w:r>
        <w:rPr>
          <w:bCs/>
          <w:snapToGrid w:val="0"/>
          <w:sz w:val="22"/>
        </w:rPr>
        <w:t>20</w:t>
      </w:r>
      <w:r w:rsidRPr="00630DC2">
        <w:rPr>
          <w:bCs/>
          <w:snapToGrid w:val="0"/>
          <w:sz w:val="22"/>
        </w:rPr>
        <w:t>,</w:t>
      </w:r>
      <w:r>
        <w:rPr>
          <w:bCs/>
          <w:snapToGrid w:val="0"/>
          <w:sz w:val="22"/>
        </w:rPr>
        <w:t>4</w:t>
      </w:r>
      <w:r w:rsidRPr="00630DC2">
        <w:rPr>
          <w:bCs/>
          <w:snapToGrid w:val="0"/>
          <w:sz w:val="22"/>
        </w:rPr>
        <w:t xml:space="preserve"> millones), alcohol </w:t>
      </w:r>
      <w:r>
        <w:rPr>
          <w:bCs/>
          <w:snapToGrid w:val="0"/>
          <w:sz w:val="22"/>
        </w:rPr>
        <w:t>carburante</w:t>
      </w:r>
      <w:r w:rsidRPr="00630DC2">
        <w:rPr>
          <w:bCs/>
          <w:snapToGrid w:val="0"/>
          <w:sz w:val="22"/>
        </w:rPr>
        <w:t xml:space="preserve"> (US$</w:t>
      </w:r>
      <w:r>
        <w:rPr>
          <w:bCs/>
          <w:snapToGrid w:val="0"/>
          <w:sz w:val="22"/>
        </w:rPr>
        <w:t xml:space="preserve">10,8 </w:t>
      </w:r>
      <w:r w:rsidRPr="00630DC2">
        <w:rPr>
          <w:bCs/>
          <w:snapToGrid w:val="0"/>
          <w:sz w:val="22"/>
        </w:rPr>
        <w:t>millones)</w:t>
      </w:r>
      <w:r>
        <w:rPr>
          <w:bCs/>
          <w:snapToGrid w:val="0"/>
          <w:sz w:val="22"/>
        </w:rPr>
        <w:t>, entre otros</w:t>
      </w:r>
      <w:r w:rsidRPr="00630DC2">
        <w:rPr>
          <w:bCs/>
          <w:snapToGrid w:val="0"/>
          <w:sz w:val="22"/>
        </w:rPr>
        <w:t>.</w:t>
      </w:r>
    </w:p>
    <w:p w:rsidR="006A4B81" w:rsidRPr="00970D17" w:rsidRDefault="006A4B81" w:rsidP="006A4B81">
      <w:pPr>
        <w:pStyle w:val="Sangradetextonormal"/>
        <w:ind w:firstLine="0"/>
        <w:rPr>
          <w:bCs/>
          <w:snapToGrid w:val="0"/>
          <w:sz w:val="22"/>
        </w:rPr>
      </w:pPr>
    </w:p>
    <w:p w:rsidR="006A4B81" w:rsidRPr="00DF0FA0" w:rsidRDefault="006A4B81" w:rsidP="006A4B81">
      <w:pPr>
        <w:pStyle w:val="Sangradetextonormal"/>
        <w:ind w:firstLine="0"/>
        <w:rPr>
          <w:bCs/>
          <w:snapToGrid w:val="0"/>
          <w:sz w:val="22"/>
        </w:rPr>
      </w:pPr>
      <w:r w:rsidRPr="00DF0FA0">
        <w:rPr>
          <w:bCs/>
          <w:snapToGrid w:val="0"/>
          <w:sz w:val="22"/>
        </w:rPr>
        <w:t>Chile, con US$</w:t>
      </w:r>
      <w:r>
        <w:rPr>
          <w:bCs/>
          <w:snapToGrid w:val="0"/>
          <w:sz w:val="22"/>
        </w:rPr>
        <w:t>28,2</w:t>
      </w:r>
      <w:r w:rsidRPr="00DF0FA0">
        <w:rPr>
          <w:bCs/>
          <w:snapToGrid w:val="0"/>
          <w:sz w:val="22"/>
        </w:rPr>
        <w:t xml:space="preserve"> millones </w:t>
      </w:r>
      <w:r>
        <w:rPr>
          <w:bCs/>
          <w:snapToGrid w:val="0"/>
          <w:sz w:val="22"/>
        </w:rPr>
        <w:t>de</w:t>
      </w:r>
      <w:r w:rsidRPr="00DF0FA0">
        <w:rPr>
          <w:bCs/>
          <w:snapToGrid w:val="0"/>
          <w:sz w:val="22"/>
        </w:rPr>
        <w:t xml:space="preserve"> aceites de pescado (US$</w:t>
      </w:r>
      <w:r>
        <w:rPr>
          <w:bCs/>
          <w:snapToGrid w:val="0"/>
          <w:sz w:val="22"/>
        </w:rPr>
        <w:t>2</w:t>
      </w:r>
      <w:r w:rsidRPr="00DF0FA0">
        <w:rPr>
          <w:bCs/>
          <w:snapToGrid w:val="0"/>
          <w:sz w:val="22"/>
        </w:rPr>
        <w:t>,</w:t>
      </w:r>
      <w:r>
        <w:rPr>
          <w:bCs/>
          <w:snapToGrid w:val="0"/>
          <w:sz w:val="22"/>
        </w:rPr>
        <w:t>2</w:t>
      </w:r>
      <w:r w:rsidRPr="00DF0FA0">
        <w:rPr>
          <w:bCs/>
          <w:snapToGrid w:val="0"/>
          <w:sz w:val="22"/>
        </w:rPr>
        <w:t xml:space="preserve"> millones), abonos (US$</w:t>
      </w:r>
      <w:r>
        <w:rPr>
          <w:bCs/>
          <w:snapToGrid w:val="0"/>
          <w:sz w:val="22"/>
        </w:rPr>
        <w:t>6</w:t>
      </w:r>
      <w:r w:rsidRPr="00DF0FA0">
        <w:rPr>
          <w:bCs/>
          <w:snapToGrid w:val="0"/>
          <w:sz w:val="22"/>
        </w:rPr>
        <w:t>,</w:t>
      </w:r>
      <w:r>
        <w:rPr>
          <w:bCs/>
          <w:snapToGrid w:val="0"/>
          <w:sz w:val="22"/>
        </w:rPr>
        <w:t>3</w:t>
      </w:r>
      <w:r w:rsidRPr="00DF0FA0">
        <w:rPr>
          <w:bCs/>
          <w:snapToGrid w:val="0"/>
          <w:sz w:val="22"/>
        </w:rPr>
        <w:t xml:space="preserve"> millones), madera en bruto (US$</w:t>
      </w:r>
      <w:r>
        <w:rPr>
          <w:bCs/>
          <w:snapToGrid w:val="0"/>
          <w:sz w:val="22"/>
        </w:rPr>
        <w:t>3</w:t>
      </w:r>
      <w:r w:rsidRPr="00DF0FA0">
        <w:rPr>
          <w:bCs/>
          <w:snapToGrid w:val="0"/>
          <w:sz w:val="22"/>
        </w:rPr>
        <w:t>,</w:t>
      </w:r>
      <w:r>
        <w:rPr>
          <w:bCs/>
          <w:snapToGrid w:val="0"/>
          <w:sz w:val="22"/>
        </w:rPr>
        <w:t>5</w:t>
      </w:r>
      <w:r w:rsidRPr="00DF0FA0">
        <w:rPr>
          <w:bCs/>
          <w:snapToGrid w:val="0"/>
          <w:sz w:val="22"/>
        </w:rPr>
        <w:t xml:space="preserve"> millones), </w:t>
      </w:r>
      <w:r>
        <w:rPr>
          <w:bCs/>
          <w:snapToGrid w:val="0"/>
          <w:sz w:val="22"/>
        </w:rPr>
        <w:t>automóviles y tractores (US$7,5 millones), en</w:t>
      </w:r>
      <w:r w:rsidRPr="00DF0FA0">
        <w:rPr>
          <w:bCs/>
          <w:snapToGrid w:val="0"/>
          <w:sz w:val="22"/>
        </w:rPr>
        <w:t>tre otros.</w:t>
      </w:r>
    </w:p>
    <w:p w:rsidR="006A4B81" w:rsidRPr="00970D17" w:rsidRDefault="006A4B81" w:rsidP="006A4B81">
      <w:pPr>
        <w:pStyle w:val="Sangradetextonormal"/>
        <w:ind w:firstLine="0"/>
        <w:rPr>
          <w:bCs/>
          <w:snapToGrid w:val="0"/>
          <w:sz w:val="22"/>
        </w:rPr>
      </w:pPr>
    </w:p>
    <w:p w:rsidR="00122A01" w:rsidRDefault="006A4B81" w:rsidP="006A4B81">
      <w:pPr>
        <w:pStyle w:val="Sangradetextonormal"/>
        <w:ind w:firstLine="0"/>
        <w:rPr>
          <w:bCs/>
          <w:snapToGrid w:val="0"/>
          <w:sz w:val="22"/>
        </w:rPr>
        <w:sectPr w:rsidR="00122A01" w:rsidSect="00122A01">
          <w:type w:val="continuous"/>
          <w:pgSz w:w="11907" w:h="16840" w:code="9"/>
          <w:pgMar w:top="1701" w:right="1418" w:bottom="1418" w:left="1701" w:header="1134" w:footer="1134" w:gutter="0"/>
          <w:paperSrc w:first="15"/>
          <w:cols w:num="2" w:space="720"/>
          <w:titlePg/>
        </w:sectPr>
      </w:pPr>
      <w:r>
        <w:rPr>
          <w:bCs/>
          <w:snapToGrid w:val="0"/>
          <w:sz w:val="22"/>
        </w:rPr>
        <w:t>Panamá</w:t>
      </w:r>
      <w:r w:rsidRPr="00970D17">
        <w:rPr>
          <w:bCs/>
          <w:snapToGrid w:val="0"/>
          <w:sz w:val="22"/>
        </w:rPr>
        <w:t>, con US$</w:t>
      </w:r>
      <w:r>
        <w:rPr>
          <w:bCs/>
          <w:snapToGrid w:val="0"/>
          <w:sz w:val="22"/>
        </w:rPr>
        <w:t xml:space="preserve">20,3 </w:t>
      </w:r>
      <w:r w:rsidRPr="00970D17">
        <w:rPr>
          <w:bCs/>
          <w:snapToGrid w:val="0"/>
          <w:sz w:val="22"/>
        </w:rPr>
        <w:t xml:space="preserve">millones </w:t>
      </w:r>
      <w:r>
        <w:rPr>
          <w:bCs/>
          <w:snapToGrid w:val="0"/>
          <w:sz w:val="22"/>
        </w:rPr>
        <w:t>de úrea y otros abonos</w:t>
      </w:r>
      <w:r w:rsidRPr="00970D17">
        <w:rPr>
          <w:bCs/>
          <w:snapToGrid w:val="0"/>
          <w:sz w:val="22"/>
        </w:rPr>
        <w:t xml:space="preserve"> (US$</w:t>
      </w:r>
      <w:r>
        <w:rPr>
          <w:bCs/>
          <w:snapToGrid w:val="0"/>
          <w:sz w:val="22"/>
        </w:rPr>
        <w:t>11</w:t>
      </w:r>
      <w:r w:rsidRPr="00A126AD">
        <w:rPr>
          <w:bCs/>
          <w:snapToGrid w:val="0"/>
          <w:color w:val="000000"/>
          <w:sz w:val="22"/>
        </w:rPr>
        <w:t>,</w:t>
      </w:r>
      <w:r>
        <w:rPr>
          <w:bCs/>
          <w:snapToGrid w:val="0"/>
          <w:color w:val="000000"/>
          <w:sz w:val="22"/>
        </w:rPr>
        <w:t>6</w:t>
      </w:r>
      <w:r w:rsidRPr="00A126AD">
        <w:rPr>
          <w:bCs/>
          <w:snapToGrid w:val="0"/>
          <w:color w:val="000000"/>
          <w:sz w:val="22"/>
        </w:rPr>
        <w:t xml:space="preserve"> millones), aparatos eléctricos (US$</w:t>
      </w:r>
      <w:r>
        <w:rPr>
          <w:bCs/>
          <w:snapToGrid w:val="0"/>
          <w:color w:val="000000"/>
          <w:sz w:val="22"/>
        </w:rPr>
        <w:t>4,5</w:t>
      </w:r>
      <w:r>
        <w:rPr>
          <w:bCs/>
          <w:snapToGrid w:val="0"/>
          <w:sz w:val="22"/>
        </w:rPr>
        <w:t xml:space="preserve"> millones), entre otros.</w:t>
      </w:r>
    </w:p>
    <w:p w:rsidR="006A4B81" w:rsidRDefault="006A4B81" w:rsidP="006A4B81">
      <w:pPr>
        <w:pStyle w:val="Sangradetextonormal"/>
        <w:ind w:firstLine="0"/>
        <w:rPr>
          <w:b/>
          <w:bCs/>
          <w:snapToGrid w:val="0"/>
          <w:color w:val="FF0000"/>
          <w:sz w:val="22"/>
        </w:rPr>
      </w:pPr>
    </w:p>
    <w:p w:rsidR="004A74AB" w:rsidRDefault="004A74AB"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pPr>
    </w:p>
    <w:p w:rsidR="00126EC3" w:rsidRDefault="00126EC3" w:rsidP="004A74AB">
      <w:pPr>
        <w:pStyle w:val="Sangradetextonormal"/>
        <w:ind w:firstLine="0"/>
        <w:rPr>
          <w:bCs/>
          <w:snapToGrid w:val="0"/>
          <w:sz w:val="22"/>
        </w:rPr>
        <w:sectPr w:rsidR="00126EC3" w:rsidSect="00FA27DE">
          <w:type w:val="continuous"/>
          <w:pgSz w:w="11907" w:h="16840" w:code="9"/>
          <w:pgMar w:top="1701" w:right="1418" w:bottom="1418" w:left="1701" w:header="1134" w:footer="1134" w:gutter="0"/>
          <w:paperSrc w:first="15"/>
          <w:cols w:num="2" w:space="720"/>
          <w:titlePg/>
        </w:sectPr>
      </w:pPr>
    </w:p>
    <w:p w:rsidR="006A4B81" w:rsidRDefault="006A4B81" w:rsidP="000C7CD7">
      <w:pPr>
        <w:pStyle w:val="Sangradetextonormal"/>
        <w:ind w:firstLine="0"/>
        <w:jc w:val="center"/>
      </w:pPr>
      <w:r>
        <w:object w:dxaOrig="9015" w:dyaOrig="4002">
          <v:shape id="_x0000_i1051" type="#_x0000_t75" style="width:450.75pt;height:172.5pt" o:ole="">
            <v:imagedata r:id="rId107" o:title=""/>
          </v:shape>
          <o:OLEObject Type="Embed" ProgID="Excel.Sheet.12" ShapeID="_x0000_i1051" DrawAspect="Content" ObjectID="_1423063388" r:id="rId108"/>
        </w:object>
      </w:r>
    </w:p>
    <w:p w:rsidR="00AE15A1" w:rsidRDefault="00AE15A1" w:rsidP="001E1479">
      <w:pPr>
        <w:pStyle w:val="Sangradetextonormal"/>
        <w:ind w:firstLine="0"/>
        <w:jc w:val="center"/>
      </w:pPr>
    </w:p>
    <w:p w:rsidR="001E1479" w:rsidRDefault="001E1479" w:rsidP="001E1479">
      <w:pPr>
        <w:pStyle w:val="Sangradetextonormal"/>
        <w:ind w:firstLine="0"/>
        <w:jc w:val="center"/>
      </w:pPr>
    </w:p>
    <w:p w:rsidR="007E1DFB" w:rsidRDefault="007E1DFB"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CA42A6" w:rsidRDefault="00CA42A6" w:rsidP="001E1479">
      <w:pPr>
        <w:pStyle w:val="Sangradetextonormal"/>
        <w:ind w:firstLine="0"/>
        <w:jc w:val="center"/>
      </w:pPr>
    </w:p>
    <w:p w:rsidR="00EE48F7" w:rsidRDefault="00D63A80" w:rsidP="00897B2A">
      <w:pPr>
        <w:pStyle w:val="Sangradetextonormal"/>
        <w:ind w:firstLine="0"/>
        <w:jc w:val="center"/>
        <w:rPr>
          <w:snapToGrid w:val="0"/>
        </w:rPr>
        <w:sectPr w:rsidR="00EE48F7">
          <w:type w:val="continuous"/>
          <w:pgSz w:w="11907" w:h="16840" w:code="9"/>
          <w:pgMar w:top="1701" w:right="1418" w:bottom="1418" w:left="1701" w:header="1134" w:footer="1134" w:gutter="0"/>
          <w:paperSrc w:first="15"/>
          <w:cols w:space="720"/>
          <w:titlePg/>
        </w:sectPr>
      </w:pPr>
      <w:r w:rsidRPr="00D63A80">
        <w:rPr>
          <w:noProof/>
          <w:sz w:val="22"/>
          <w:lang w:val="es-ES" w:eastAsia="en-US"/>
        </w:rPr>
        <w:pict>
          <v:shape id="_x0000_s1591" type="#_x0000_t202" style="position:absolute;left:0;text-align:left;margin-left:403.95pt;margin-top:6.45pt;width:27.9pt;height:24pt;z-index:251663872;mso-width-relative:margin;mso-height-relative:margin" stroked="f">
            <v:textbox style="mso-next-textbox:#_x0000_s1591">
              <w:txbxContent>
                <w:p w:rsidR="00F2504B" w:rsidRPr="00D819DD" w:rsidRDefault="00F2504B">
                  <w:pPr>
                    <w:rPr>
                      <w:sz w:val="20"/>
                      <w:szCs w:val="20"/>
                    </w:rPr>
                  </w:pPr>
                </w:p>
              </w:txbxContent>
            </v:textbox>
          </v:shape>
        </w:pict>
      </w:r>
    </w:p>
    <w:bookmarkEnd w:id="8"/>
    <w:bookmarkEnd w:id="9"/>
    <w:p w:rsidR="00852557" w:rsidRPr="00E1121A" w:rsidRDefault="00852557">
      <w:pPr>
        <w:pStyle w:val="Ttulo4"/>
        <w:keepNext w:val="0"/>
        <w:numPr>
          <w:ilvl w:val="0"/>
          <w:numId w:val="2"/>
        </w:numPr>
        <w:tabs>
          <w:tab w:val="clear" w:pos="-1099"/>
        </w:tabs>
        <w:jc w:val="left"/>
        <w:rPr>
          <w:sz w:val="26"/>
        </w:rPr>
      </w:pPr>
      <w:r w:rsidRPr="00E1121A">
        <w:rPr>
          <w:sz w:val="26"/>
        </w:rPr>
        <w:lastRenderedPageBreak/>
        <w:t>FINANZAS PÚBLICAS</w:t>
      </w:r>
    </w:p>
    <w:p w:rsidR="00852557" w:rsidRPr="004C6DA6" w:rsidRDefault="00852557"/>
    <w:p w:rsidR="00852557" w:rsidRPr="004758D9" w:rsidRDefault="00852557">
      <w:pPr>
        <w:numPr>
          <w:ilvl w:val="1"/>
          <w:numId w:val="3"/>
        </w:numPr>
        <w:rPr>
          <w:b/>
        </w:rPr>
      </w:pPr>
      <w:r w:rsidRPr="004758D9">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09"/>
          <w:footerReference w:type="default" r:id="rId110"/>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A66BCC" w:rsidRDefault="00A66BCC" w:rsidP="00A66BCC">
      <w:pPr>
        <w:pStyle w:val="Textoindependiente2"/>
        <w:tabs>
          <w:tab w:val="left" w:pos="2552"/>
        </w:tabs>
        <w:rPr>
          <w:sz w:val="22"/>
        </w:rPr>
      </w:pPr>
      <w:r>
        <w:rPr>
          <w:sz w:val="22"/>
        </w:rPr>
        <w:lastRenderedPageBreak/>
        <w:t xml:space="preserve">En diciembre, la recaudación fiscal </w:t>
      </w:r>
      <w:r w:rsidRPr="00541879">
        <w:rPr>
          <w:sz w:val="22"/>
        </w:rPr>
        <w:t xml:space="preserve">por </w:t>
      </w:r>
      <w:r>
        <w:rPr>
          <w:sz w:val="22"/>
        </w:rPr>
        <w:t xml:space="preserve">parte de la </w:t>
      </w:r>
      <w:r w:rsidRPr="00541879">
        <w:rPr>
          <w:sz w:val="22"/>
        </w:rPr>
        <w:t xml:space="preserve">SUNAT </w:t>
      </w:r>
      <w:r>
        <w:rPr>
          <w:sz w:val="22"/>
        </w:rPr>
        <w:t xml:space="preserve">en </w:t>
      </w:r>
      <w:r w:rsidRPr="00541879">
        <w:rPr>
          <w:sz w:val="22"/>
        </w:rPr>
        <w:t>Piura borde</w:t>
      </w:r>
      <w:r>
        <w:rPr>
          <w:sz w:val="22"/>
        </w:rPr>
        <w:t>ó</w:t>
      </w:r>
      <w:r w:rsidRPr="00541879">
        <w:rPr>
          <w:sz w:val="22"/>
        </w:rPr>
        <w:t xml:space="preserve"> los S/.1</w:t>
      </w:r>
      <w:r>
        <w:rPr>
          <w:sz w:val="22"/>
        </w:rPr>
        <w:t>32,3</w:t>
      </w:r>
      <w:r w:rsidRPr="00541879">
        <w:rPr>
          <w:sz w:val="22"/>
        </w:rPr>
        <w:t xml:space="preserve"> millones</w:t>
      </w:r>
      <w:r>
        <w:rPr>
          <w:sz w:val="22"/>
        </w:rPr>
        <w:t xml:space="preserve">, registrando </w:t>
      </w:r>
      <w:r w:rsidRPr="00541879">
        <w:rPr>
          <w:sz w:val="22"/>
        </w:rPr>
        <w:t>un</w:t>
      </w:r>
      <w:r>
        <w:rPr>
          <w:sz w:val="22"/>
        </w:rPr>
        <w:t xml:space="preserve">a disminución real del 11,5 por ciento en relación con similar mes del año anterior. </w:t>
      </w:r>
      <w:r>
        <w:rPr>
          <w:sz w:val="22"/>
        </w:rPr>
        <w:lastRenderedPageBreak/>
        <w:t xml:space="preserve">Esto obedeció a la significativa caída en lo captado por concepto de impuesto general a las ventas (-30,2 por ciento). No obstante, en todo el año 2012, los ingresos fiscales se expandieron en 2,4 por ciento. </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A66BCC"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rsidRPr="00EB0090">
        <w:rPr>
          <w:color w:val="FF0000"/>
          <w:sz w:val="22"/>
        </w:rPr>
        <w:object w:dxaOrig="10505" w:dyaOrig="6236">
          <v:shape id="_x0000_i1052" type="#_x0000_t75" style="width:440.25pt;height:280.5pt" o:ole="">
            <v:imagedata r:id="rId111" o:title=""/>
          </v:shape>
          <o:OLEObject Type="Embed" ProgID="Excel.Sheet.12" ShapeID="_x0000_i1052" DrawAspect="Content" ObjectID="_1423063389" r:id="rId112"/>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4C6DA6">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A66BCC" w:rsidRDefault="00A66BCC" w:rsidP="00A66BCC">
      <w:pPr>
        <w:pStyle w:val="Textoindependiente2"/>
        <w:rPr>
          <w:sz w:val="22"/>
          <w:szCs w:val="22"/>
        </w:rPr>
      </w:pPr>
      <w:r w:rsidRPr="00600001">
        <w:rPr>
          <w:sz w:val="22"/>
          <w:szCs w:val="22"/>
        </w:rPr>
        <w:lastRenderedPageBreak/>
        <w:t xml:space="preserve">En </w:t>
      </w:r>
      <w:r>
        <w:rPr>
          <w:sz w:val="22"/>
          <w:szCs w:val="22"/>
        </w:rPr>
        <w:t xml:space="preserve">diciembre, el gasto del Gobierno Regional bordeó los S/.232,0 millones, superando en 18,8 por ciento el gasto ejecutado en el mismo mes del año anterior. Esto respondió a la significativa expansión de los gastos de capital (42,1 por ciento), los cuales se destinaron principalmente a las siguientes obras y proyectos: proyecto hidroenergético del Alto Piura </w:t>
      </w:r>
      <w:r w:rsidRPr="003D510B">
        <w:rPr>
          <w:sz w:val="22"/>
          <w:szCs w:val="22"/>
        </w:rPr>
        <w:t>(S/.</w:t>
      </w:r>
      <w:r>
        <w:rPr>
          <w:sz w:val="22"/>
          <w:szCs w:val="22"/>
        </w:rPr>
        <w:t>7,4</w:t>
      </w:r>
      <w:r w:rsidRPr="003D510B">
        <w:rPr>
          <w:sz w:val="22"/>
          <w:szCs w:val="22"/>
        </w:rPr>
        <w:t xml:space="preserve"> millones)</w:t>
      </w:r>
      <w:r>
        <w:rPr>
          <w:sz w:val="22"/>
          <w:szCs w:val="22"/>
        </w:rPr>
        <w:t xml:space="preserve">; construcción de la carretera Tambogrande  km.21 vía Piura-Chulucanas (S/.6,7 millones); rehabilitación y mejoramiento de la carretera Sajinos- Ayabaca-Socchabamba (S/.1,6 millones); protección del cuenco amortiguador de la </w:t>
      </w:r>
      <w:r>
        <w:rPr>
          <w:sz w:val="22"/>
          <w:szCs w:val="22"/>
        </w:rPr>
        <w:lastRenderedPageBreak/>
        <w:t xml:space="preserve">Presa Poechos (S/.2,8 millones); construcción del hospital Las Mercedes en Paita (S/.1,4 millones); mejoramiento de la infraestructura de instituciones educativas (S/.12,7 millones); defensas ribereñas (S/.5,0 millones); construcción del puente San Miguel (S/.5,6 millones); obras de saneamiento (S/.9,9 millones); mejora de la infraestructura de centros de salud (S/.2,6 millones). </w:t>
      </w:r>
    </w:p>
    <w:p w:rsidR="00A66BCC" w:rsidRDefault="00A66BCC" w:rsidP="00A66BCC">
      <w:pPr>
        <w:pStyle w:val="Textoindependiente2"/>
        <w:rPr>
          <w:sz w:val="22"/>
          <w:szCs w:val="22"/>
        </w:rPr>
      </w:pPr>
    </w:p>
    <w:p w:rsidR="00A66BCC" w:rsidRDefault="00A66BCC" w:rsidP="00A66BCC">
      <w:pPr>
        <w:pStyle w:val="Textoindependiente2"/>
        <w:rPr>
          <w:sz w:val="22"/>
          <w:szCs w:val="22"/>
        </w:rPr>
      </w:pPr>
      <w:r>
        <w:rPr>
          <w:sz w:val="22"/>
          <w:szCs w:val="22"/>
        </w:rPr>
        <w:t xml:space="preserve">En el 2012, el gasto de la autoridad regional se incrementó en 22,3 por ciento respecto del año anterior. </w:t>
      </w:r>
    </w:p>
    <w:p w:rsidR="00A66BCC" w:rsidRDefault="00A66BCC" w:rsidP="00DD0B60">
      <w:pPr>
        <w:pStyle w:val="Textoindependiente2"/>
        <w:rPr>
          <w:color w:val="FF0000"/>
          <w:sz w:val="22"/>
          <w:szCs w:val="22"/>
        </w:rPr>
        <w:sectPr w:rsidR="00A66BCC" w:rsidSect="00A66BCC">
          <w:type w:val="continuous"/>
          <w:pgSz w:w="11907" w:h="16840" w:code="9"/>
          <w:pgMar w:top="1418" w:right="1701" w:bottom="1418" w:left="1701" w:header="720" w:footer="720" w:gutter="0"/>
          <w:cols w:num="2" w:space="720"/>
        </w:sectPr>
      </w:pPr>
    </w:p>
    <w:p w:rsidR="000D5807" w:rsidRDefault="00D63A80" w:rsidP="00DD0B60">
      <w:pPr>
        <w:pStyle w:val="Textoindependiente2"/>
        <w:rPr>
          <w:color w:val="FF0000"/>
          <w:sz w:val="22"/>
          <w:szCs w:val="22"/>
        </w:rPr>
      </w:pPr>
      <w:r w:rsidRPr="00D63A80">
        <w:rPr>
          <w:noProof/>
          <w:color w:val="FF0000"/>
          <w:sz w:val="22"/>
          <w:szCs w:val="22"/>
          <w:lang w:eastAsia="en-US"/>
        </w:rPr>
        <w:lastRenderedPageBreak/>
        <w:pict>
          <v:shape id="_x0000_s409652" type="#_x0000_t202" style="position:absolute;left:0;text-align:left;margin-left:420.45pt;margin-top:36.95pt;width:27.9pt;height:23.25pt;z-index:251785728;mso-width-relative:margin;mso-height-relative:margin" stroked="f">
            <v:textbox>
              <w:txbxContent>
                <w:p w:rsidR="00F2504B" w:rsidRPr="003F524A" w:rsidRDefault="00F2504B">
                  <w:pPr>
                    <w:rPr>
                      <w:sz w:val="20"/>
                      <w:szCs w:val="20"/>
                      <w:lang w:val="es-PE"/>
                    </w:rPr>
                  </w:pPr>
                </w:p>
              </w:txbxContent>
            </v:textbox>
          </v:shape>
        </w:pict>
      </w:r>
    </w:p>
    <w:p w:rsidR="00852557" w:rsidRDefault="00A66BCC"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EB0090">
        <w:rPr>
          <w:color w:val="FF0000"/>
          <w:sz w:val="22"/>
          <w:szCs w:val="22"/>
        </w:rPr>
        <w:object w:dxaOrig="9112" w:dyaOrig="5452">
          <v:shape id="_x0000_i1053" type="#_x0000_t75" style="width:423pt;height:291.75pt" o:ole="">
            <v:imagedata r:id="rId113" o:title=""/>
          </v:shape>
          <o:OLEObject Type="Embed" ProgID="Excel.Sheet.12" ShapeID="_x0000_i1053" DrawAspect="Content" ObjectID="_1423063390" r:id="rId114"/>
        </w:object>
      </w:r>
    </w:p>
    <w:p w:rsidR="000D5807" w:rsidRDefault="000D5807">
      <w:pPr>
        <w:pStyle w:val="Textoindependiente2"/>
        <w:rPr>
          <w:color w:val="FF0000"/>
          <w:sz w:val="22"/>
          <w:szCs w:val="22"/>
        </w:rPr>
      </w:pPr>
    </w:p>
    <w:p w:rsidR="00F143AB" w:rsidRDefault="00F143AB">
      <w:pPr>
        <w:pStyle w:val="Textoindependiente2"/>
        <w:rPr>
          <w:color w:val="FF0000"/>
          <w:sz w:val="22"/>
          <w:szCs w:val="22"/>
        </w:rPr>
      </w:pPr>
    </w:p>
    <w:p w:rsidR="00C4157E" w:rsidRDefault="00C4157E">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A66BCC" w:rsidRDefault="00A66BCC" w:rsidP="00A66BCC">
      <w:pPr>
        <w:pStyle w:val="Textoindependiente2"/>
        <w:rPr>
          <w:sz w:val="22"/>
        </w:rPr>
      </w:pPr>
      <w:r>
        <w:rPr>
          <w:sz w:val="22"/>
        </w:rPr>
        <w:lastRenderedPageBreak/>
        <w:t xml:space="preserve">El financiamiento del gasto mensual provino principalmente de “Recursos Ordinarios”, que representaron el 63,6 por ciento del total, pero se contrajeron en 12,1 por ciento respecto de diciembre del año </w:t>
      </w:r>
      <w:r>
        <w:rPr>
          <w:sz w:val="22"/>
        </w:rPr>
        <w:lastRenderedPageBreak/>
        <w:t>previo. La segunda fuente de ingresos fue la de “Recursos Determinados” (incluye canon petrolero), que dio cuenta del 29,7 por ciento del total y se expandió en 297,6 por ciento.</w:t>
      </w:r>
    </w:p>
    <w:p w:rsidR="00921616" w:rsidRDefault="00921616" w:rsidP="004B5E5D">
      <w:pPr>
        <w:pStyle w:val="Textoindependiente2"/>
        <w:rPr>
          <w:sz w:val="22"/>
        </w:rPr>
        <w:sectPr w:rsidR="00921616" w:rsidSect="001D5F9A">
          <w:type w:val="continuous"/>
          <w:pgSz w:w="11907" w:h="16840" w:code="9"/>
          <w:pgMar w:top="1418" w:right="1701" w:bottom="1418" w:left="1701" w:header="720" w:footer="720" w:gutter="0"/>
          <w:cols w:num="2" w:space="720"/>
        </w:sectPr>
      </w:pP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A66BCC" w:rsidP="004E43C2">
      <w:pPr>
        <w:pStyle w:val="Textoindependiente2"/>
        <w:jc w:val="center"/>
        <w:rPr>
          <w:sz w:val="22"/>
        </w:rPr>
      </w:pPr>
      <w:r w:rsidRPr="00EB0090">
        <w:rPr>
          <w:sz w:val="22"/>
        </w:rPr>
        <w:object w:dxaOrig="9222" w:dyaOrig="3666">
          <v:shape id="_x0000_i1054" type="#_x0000_t75" style="width:419.25pt;height:197.25pt" o:ole="">
            <v:imagedata r:id="rId115" o:title=""/>
          </v:shape>
          <o:OLEObject Type="Embed" ProgID="Excel.Sheet.12" ShapeID="_x0000_i1054" DrawAspect="Content" ObjectID="_1423063391" r:id="rId116"/>
        </w:object>
      </w:r>
    </w:p>
    <w:p w:rsidR="000D5807" w:rsidRDefault="000D5807" w:rsidP="000D5807">
      <w:pPr>
        <w:rPr>
          <w:sz w:val="22"/>
          <w:szCs w:val="22"/>
          <w:lang w:val="es-MX"/>
        </w:rPr>
      </w:pPr>
    </w:p>
    <w:p w:rsidR="00757D14" w:rsidRDefault="00757D14" w:rsidP="000D5807">
      <w:pPr>
        <w:rPr>
          <w:sz w:val="22"/>
          <w:szCs w:val="22"/>
          <w:lang w:val="es-MX"/>
        </w:rPr>
      </w:pPr>
    </w:p>
    <w:p w:rsidR="00122A01" w:rsidRDefault="00122A01" w:rsidP="000D5807">
      <w:pPr>
        <w:rPr>
          <w:sz w:val="22"/>
          <w:szCs w:val="22"/>
          <w:lang w:val="es-MX"/>
        </w:rPr>
        <w:sectPr w:rsidR="00122A01" w:rsidSect="00594DAB">
          <w:headerReference w:type="even" r:id="rId117"/>
          <w:headerReference w:type="default" r:id="rId118"/>
          <w:footerReference w:type="default" r:id="rId119"/>
          <w:type w:val="continuous"/>
          <w:pgSz w:w="11907" w:h="16840" w:code="9"/>
          <w:pgMar w:top="993" w:right="1701" w:bottom="709" w:left="1701" w:header="720" w:footer="720" w:gutter="0"/>
          <w:cols w:space="709"/>
        </w:sectPr>
      </w:pPr>
    </w:p>
    <w:p w:rsidR="00A66BCC" w:rsidRDefault="00A66BCC" w:rsidP="00A66BCC">
      <w:pPr>
        <w:rPr>
          <w:sz w:val="22"/>
          <w:szCs w:val="22"/>
          <w:lang w:val="es-MX"/>
        </w:rPr>
      </w:pPr>
      <w:r>
        <w:rPr>
          <w:sz w:val="22"/>
          <w:szCs w:val="22"/>
          <w:lang w:val="es-MX"/>
        </w:rPr>
        <w:lastRenderedPageBreak/>
        <w:t>El Presupuesto Institucional Modificado (PIM), a diciembre, bordeó los S/. 1 353,1  millones y registró una ejecución acumulada del 90,5</w:t>
      </w:r>
      <w:r w:rsidRPr="004B3026">
        <w:rPr>
          <w:sz w:val="22"/>
          <w:szCs w:val="22"/>
          <w:lang w:val="es-MX"/>
        </w:rPr>
        <w:t xml:space="preserve"> por ciento</w:t>
      </w:r>
      <w:r>
        <w:rPr>
          <w:sz w:val="22"/>
          <w:szCs w:val="22"/>
          <w:lang w:val="es-MX"/>
        </w:rPr>
        <w:t xml:space="preserve">, con un </w:t>
      </w:r>
      <w:r w:rsidRPr="004B3026">
        <w:rPr>
          <w:sz w:val="22"/>
          <w:szCs w:val="22"/>
          <w:lang w:val="es-MX"/>
        </w:rPr>
        <w:lastRenderedPageBreak/>
        <w:t xml:space="preserve">avance de </w:t>
      </w:r>
      <w:r>
        <w:rPr>
          <w:sz w:val="22"/>
          <w:szCs w:val="22"/>
          <w:lang w:val="es-MX"/>
        </w:rPr>
        <w:t xml:space="preserve">94,7 </w:t>
      </w:r>
      <w:r w:rsidRPr="004B3026">
        <w:rPr>
          <w:sz w:val="22"/>
          <w:szCs w:val="22"/>
          <w:lang w:val="es-MX"/>
        </w:rPr>
        <w:t xml:space="preserve">por ciento en gastos corrientes y de </w:t>
      </w:r>
      <w:r>
        <w:rPr>
          <w:sz w:val="22"/>
          <w:szCs w:val="22"/>
          <w:lang w:val="es-MX"/>
        </w:rPr>
        <w:t>82,1</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1E641D" w:rsidRDefault="001E641D" w:rsidP="001E641D">
      <w:pPr>
        <w:rPr>
          <w:sz w:val="22"/>
          <w:szCs w:val="22"/>
          <w:lang w:val="es-MX"/>
        </w:rPr>
        <w:sectPr w:rsidR="001E641D" w:rsidSect="007B2C84">
          <w:type w:val="continuous"/>
          <w:pgSz w:w="11907" w:h="16840" w:code="9"/>
          <w:pgMar w:top="993" w:right="1701" w:bottom="709" w:left="1701" w:header="720" w:footer="720" w:gutter="0"/>
          <w:cols w:num="2" w:space="720"/>
        </w:sectPr>
      </w:pPr>
    </w:p>
    <w:p w:rsidR="000D5807" w:rsidRDefault="000D5807" w:rsidP="000D5807">
      <w:pPr>
        <w:rPr>
          <w:sz w:val="22"/>
          <w:szCs w:val="22"/>
          <w:lang w:val="es-MX"/>
        </w:rPr>
        <w:sectPr w:rsidR="000D5807" w:rsidSect="001D5F9A">
          <w:type w:val="continuous"/>
          <w:pgSz w:w="11907" w:h="16840" w:code="9"/>
          <w:pgMar w:top="993" w:right="1701" w:bottom="709" w:left="1701" w:header="720" w:footer="720" w:gutter="0"/>
          <w:cols w:num="2" w:space="709"/>
        </w:sectPr>
      </w:pPr>
    </w:p>
    <w:p w:rsidR="00AC71AC" w:rsidRDefault="00AC71AC">
      <w:pPr>
        <w:rPr>
          <w:sz w:val="22"/>
          <w:szCs w:val="22"/>
          <w:lang w:val="es-MX"/>
        </w:rPr>
      </w:pPr>
    </w:p>
    <w:p w:rsidR="00852557" w:rsidRDefault="00852557">
      <w:pPr>
        <w:rPr>
          <w:b/>
          <w:bCs/>
          <w:sz w:val="22"/>
        </w:rPr>
      </w:pPr>
      <w:r w:rsidRPr="005A0A8E">
        <w:rPr>
          <w:b/>
          <w:bCs/>
        </w:rPr>
        <w:t>4</w:t>
      </w:r>
      <w:r w:rsidRPr="005A0A8E">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A66BCC" w:rsidRDefault="00A66BCC" w:rsidP="00A66BCC">
      <w:pPr>
        <w:rPr>
          <w:bCs/>
          <w:sz w:val="22"/>
          <w:szCs w:val="22"/>
        </w:rPr>
      </w:pPr>
      <w:r>
        <w:rPr>
          <w:bCs/>
          <w:sz w:val="22"/>
          <w:szCs w:val="22"/>
        </w:rPr>
        <w:lastRenderedPageBreak/>
        <w:t xml:space="preserve">En diciembre, los gastos del gobierno local de la ciudad de Piura bordearon los S/. 96,0 millones y superaron en 6,3 por ciento a los ejecutados en análogo mes del año pasado. </w:t>
      </w:r>
    </w:p>
    <w:p w:rsidR="00A66BCC" w:rsidRDefault="00A66BCC" w:rsidP="00A66BCC">
      <w:pPr>
        <w:rPr>
          <w:bCs/>
          <w:sz w:val="22"/>
          <w:szCs w:val="22"/>
        </w:rPr>
      </w:pPr>
    </w:p>
    <w:p w:rsidR="00A66BCC" w:rsidRDefault="00A66BCC" w:rsidP="00A66BCC">
      <w:pPr>
        <w:rPr>
          <w:bCs/>
          <w:sz w:val="22"/>
          <w:szCs w:val="22"/>
        </w:rPr>
      </w:pPr>
      <w:r>
        <w:rPr>
          <w:bCs/>
          <w:sz w:val="22"/>
          <w:szCs w:val="22"/>
        </w:rPr>
        <w:t xml:space="preserve">Los gastos de capital se expandieron en 10,3 por ciento y estuvieron dirigidos básicamente a obras de saneamiento </w:t>
      </w:r>
      <w:r>
        <w:rPr>
          <w:bCs/>
          <w:sz w:val="22"/>
          <w:szCs w:val="22"/>
        </w:rPr>
        <w:lastRenderedPageBreak/>
        <w:t>(S/.35,7 millones), así como a infraestructura vial (S/.18,2 millones) y agrícola (S/.3,0 millones).</w:t>
      </w:r>
    </w:p>
    <w:p w:rsidR="00A66BCC" w:rsidRDefault="00A66BCC" w:rsidP="00A66BCC">
      <w:pPr>
        <w:rPr>
          <w:bCs/>
          <w:sz w:val="22"/>
          <w:szCs w:val="22"/>
        </w:rPr>
      </w:pPr>
    </w:p>
    <w:p w:rsidR="00A66BCC" w:rsidRDefault="00A66BCC" w:rsidP="00A66BCC">
      <w:pPr>
        <w:rPr>
          <w:bCs/>
          <w:sz w:val="22"/>
          <w:szCs w:val="22"/>
        </w:rPr>
      </w:pPr>
      <w:r>
        <w:rPr>
          <w:bCs/>
          <w:sz w:val="22"/>
          <w:szCs w:val="22"/>
        </w:rPr>
        <w:t>El gasto de la autoridad local, en el año 2012,  se incrementó en 33,8 por ciento con relación al año anterior.</w:t>
      </w:r>
    </w:p>
    <w:p w:rsidR="00F143AB" w:rsidRDefault="00F143AB" w:rsidP="00DE2FC9">
      <w:pPr>
        <w:rPr>
          <w:bCs/>
          <w:sz w:val="22"/>
          <w:szCs w:val="22"/>
        </w:rPr>
        <w:sectPr w:rsidR="00F143AB" w:rsidSect="00F143AB">
          <w:type w:val="continuous"/>
          <w:pgSz w:w="11907" w:h="16840" w:code="9"/>
          <w:pgMar w:top="1418" w:right="1701" w:bottom="1418" w:left="1701" w:header="720" w:footer="720" w:gutter="0"/>
          <w:cols w:num="2" w:space="709"/>
        </w:sectPr>
      </w:pPr>
    </w:p>
    <w:p w:rsidR="0097000A" w:rsidRDefault="0097000A" w:rsidP="00DE2FC9">
      <w:pPr>
        <w:rPr>
          <w:bCs/>
          <w:sz w:val="22"/>
          <w:szCs w:val="22"/>
        </w:rPr>
      </w:pPr>
    </w:p>
    <w:p w:rsidR="0097000A" w:rsidRDefault="0097000A" w:rsidP="00DE2FC9">
      <w:pPr>
        <w:rPr>
          <w:bCs/>
          <w:sz w:val="22"/>
          <w:szCs w:val="22"/>
        </w:rPr>
      </w:pPr>
    </w:p>
    <w:p w:rsidR="00F143AB" w:rsidRDefault="00F143AB" w:rsidP="00DE2FC9">
      <w:pPr>
        <w:rPr>
          <w:bCs/>
          <w:sz w:val="22"/>
          <w:szCs w:val="22"/>
        </w:rPr>
        <w:sectPr w:rsidR="00F143AB" w:rsidSect="0097000A">
          <w:type w:val="continuous"/>
          <w:pgSz w:w="11907" w:h="16840" w:code="9"/>
          <w:pgMar w:top="1418" w:right="1701" w:bottom="1418" w:left="1701" w:header="720" w:footer="720" w:gutter="0"/>
          <w:cols w:num="2" w:space="709"/>
        </w:sectPr>
      </w:pPr>
    </w:p>
    <w:p w:rsidR="00130FC0" w:rsidRDefault="00A66BCC" w:rsidP="00DE2FC9">
      <w:pPr>
        <w:rPr>
          <w:bCs/>
          <w:sz w:val="22"/>
          <w:szCs w:val="22"/>
        </w:rPr>
        <w:sectPr w:rsidR="00130FC0" w:rsidSect="00130FC0">
          <w:type w:val="continuous"/>
          <w:pgSz w:w="11907" w:h="16840" w:code="9"/>
          <w:pgMar w:top="1418" w:right="1701" w:bottom="1418" w:left="1701" w:header="720" w:footer="720" w:gutter="0"/>
          <w:cols w:space="709"/>
        </w:sectPr>
      </w:pPr>
      <w:r w:rsidRPr="00EB0090">
        <w:rPr>
          <w:bCs/>
          <w:sz w:val="22"/>
          <w:szCs w:val="22"/>
        </w:rPr>
        <w:object w:dxaOrig="8607" w:dyaOrig="4904">
          <v:shape id="_x0000_i1055" type="#_x0000_t75" style="width:421.5pt;height:236.25pt" o:ole="">
            <v:imagedata r:id="rId120" o:title=""/>
          </v:shape>
          <o:OLEObject Type="Embed" ProgID="Excel.Sheet.12" ShapeID="_x0000_i1055" DrawAspect="Content" ObjectID="_1423063392" r:id="rId121"/>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A66BCC" w:rsidRDefault="00A66BCC" w:rsidP="00A66BCC">
      <w:pPr>
        <w:rPr>
          <w:sz w:val="22"/>
          <w:szCs w:val="22"/>
          <w:lang w:val="es-MX"/>
        </w:rPr>
      </w:pPr>
      <w:r>
        <w:rPr>
          <w:sz w:val="22"/>
          <w:szCs w:val="22"/>
          <w:lang w:val="es-MX"/>
        </w:rPr>
        <w:lastRenderedPageBreak/>
        <w:t xml:space="preserve">El financiamiento del gasto municipal durante el mes provino principalmente de “Recursos Ordinarios”, que dieron cuenta de la mitad de los requerimientos, pero se contrajeron ligeramente en 1,4 por ciento </w:t>
      </w:r>
      <w:r>
        <w:rPr>
          <w:sz w:val="22"/>
          <w:szCs w:val="22"/>
          <w:lang w:val="es-MX"/>
        </w:rPr>
        <w:lastRenderedPageBreak/>
        <w:t>respecto de diciembre del año anterior. La segunda fuente de ingresos fue la de “Recursos Determinados”, con una significación del 36,6 por ciento y con una expansión interanual del 12,8 por ciento.</w:t>
      </w:r>
    </w:p>
    <w:p w:rsidR="00130FC0" w:rsidRDefault="00130FC0" w:rsidP="008D30F3">
      <w:pPr>
        <w:rPr>
          <w:sz w:val="22"/>
          <w:szCs w:val="22"/>
          <w:lang w:val="es-MX"/>
        </w:rPr>
        <w:sectPr w:rsidR="00130FC0" w:rsidSect="001D5F9A">
          <w:type w:val="continuous"/>
          <w:pgSz w:w="11907" w:h="16840" w:code="9"/>
          <w:pgMar w:top="1418" w:right="1701" w:bottom="1418" w:left="1701" w:header="720" w:footer="720" w:gutter="0"/>
          <w:cols w:num="2" w:space="709"/>
        </w:sectPr>
      </w:pP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A66BCC">
      <w:pPr>
        <w:rPr>
          <w:sz w:val="22"/>
          <w:szCs w:val="22"/>
          <w:lang w:val="es-MX"/>
        </w:rPr>
        <w:sectPr w:rsidR="00130FC0" w:rsidSect="00130FC0">
          <w:type w:val="continuous"/>
          <w:pgSz w:w="11907" w:h="16840" w:code="9"/>
          <w:pgMar w:top="1418" w:right="1701" w:bottom="1418" w:left="1701" w:header="720" w:footer="720" w:gutter="0"/>
          <w:cols w:space="709"/>
        </w:sectPr>
      </w:pPr>
      <w:r w:rsidRPr="00EB0090">
        <w:rPr>
          <w:sz w:val="22"/>
          <w:szCs w:val="22"/>
          <w:lang w:val="es-MX"/>
        </w:rPr>
        <w:object w:dxaOrig="8765" w:dyaOrig="3682">
          <v:shape id="_x0000_i1056" type="#_x0000_t75" style="width:423pt;height:164.25pt" o:ole="">
            <v:imagedata r:id="rId122" o:title=""/>
          </v:shape>
          <o:OLEObject Type="Embed" ProgID="Excel.Sheet.12" ShapeID="_x0000_i1056" DrawAspect="Content" ObjectID="_1423063393" r:id="rId123"/>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A66BCC" w:rsidRDefault="00A66BCC" w:rsidP="00A66BCC">
      <w:pPr>
        <w:pStyle w:val="SBS"/>
        <w:rPr>
          <w:rFonts w:ascii="Times New Roman" w:hAnsi="Times New Roman"/>
        </w:rPr>
      </w:pPr>
      <w:r>
        <w:rPr>
          <w:rFonts w:ascii="Times New Roman" w:hAnsi="Times New Roman"/>
        </w:rPr>
        <w:lastRenderedPageBreak/>
        <w:t>E</w:t>
      </w:r>
      <w:r w:rsidRPr="00C02242">
        <w:rPr>
          <w:rFonts w:ascii="Times New Roman" w:hAnsi="Times New Roman"/>
        </w:rPr>
        <w:t xml:space="preserve">l </w:t>
      </w:r>
      <w:r>
        <w:rPr>
          <w:rFonts w:ascii="Times New Roman" w:hAnsi="Times New Roman"/>
        </w:rPr>
        <w:t>P</w:t>
      </w:r>
      <w:r w:rsidRPr="00C02242">
        <w:rPr>
          <w:rFonts w:ascii="Times New Roman" w:hAnsi="Times New Roman"/>
        </w:rPr>
        <w:t xml:space="preserve">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w:t>
      </w:r>
      <w:r>
        <w:rPr>
          <w:rFonts w:ascii="Times New Roman" w:hAnsi="Times New Roman"/>
        </w:rPr>
        <w:t>,</w:t>
      </w:r>
      <w:r w:rsidRPr="00C02242">
        <w:rPr>
          <w:rFonts w:ascii="Times New Roman" w:hAnsi="Times New Roman"/>
        </w:rPr>
        <w:t xml:space="preserve"> </w:t>
      </w:r>
      <w:r>
        <w:rPr>
          <w:rFonts w:ascii="Times New Roman" w:hAnsi="Times New Roman"/>
        </w:rPr>
        <w:t xml:space="preserve">a diciembre, bordeó los </w:t>
      </w:r>
      <w:r w:rsidRPr="00C02242">
        <w:rPr>
          <w:rFonts w:ascii="Times New Roman" w:hAnsi="Times New Roman"/>
        </w:rPr>
        <w:t>S/.</w:t>
      </w:r>
      <w:r>
        <w:rPr>
          <w:rFonts w:ascii="Times New Roman" w:hAnsi="Times New Roman"/>
        </w:rPr>
        <w:t>463,3</w:t>
      </w:r>
      <w:r w:rsidRPr="00C02242">
        <w:rPr>
          <w:rFonts w:ascii="Times New Roman" w:hAnsi="Times New Roman"/>
        </w:rPr>
        <w:t xml:space="preserve"> millones</w:t>
      </w:r>
      <w:r>
        <w:rPr>
          <w:rFonts w:ascii="Times New Roman" w:hAnsi="Times New Roman"/>
        </w:rPr>
        <w:t xml:space="preserve"> y mostró </w:t>
      </w:r>
      <w:r w:rsidRPr="00C02242">
        <w:rPr>
          <w:rFonts w:ascii="Times New Roman" w:hAnsi="Times New Roman"/>
        </w:rPr>
        <w:t xml:space="preserve">una ejecución </w:t>
      </w:r>
      <w:r>
        <w:rPr>
          <w:rFonts w:ascii="Times New Roman" w:hAnsi="Times New Roman"/>
        </w:rPr>
        <w:t xml:space="preserve">acumulada </w:t>
      </w:r>
      <w:r>
        <w:rPr>
          <w:rFonts w:ascii="Times New Roman" w:hAnsi="Times New Roman"/>
        </w:rPr>
        <w:br w:type="column"/>
      </w:r>
      <w:r w:rsidRPr="00C02242">
        <w:rPr>
          <w:rFonts w:ascii="Times New Roman" w:hAnsi="Times New Roman"/>
        </w:rPr>
        <w:lastRenderedPageBreak/>
        <w:t>de</w:t>
      </w:r>
      <w:r>
        <w:rPr>
          <w:rFonts w:ascii="Times New Roman" w:hAnsi="Times New Roman"/>
        </w:rPr>
        <w:t>l</w:t>
      </w:r>
      <w:r w:rsidRPr="00C02242">
        <w:rPr>
          <w:rFonts w:ascii="Times New Roman" w:hAnsi="Times New Roman"/>
        </w:rPr>
        <w:t xml:space="preserve"> </w:t>
      </w:r>
      <w:r>
        <w:rPr>
          <w:rFonts w:ascii="Times New Roman" w:hAnsi="Times New Roman"/>
        </w:rPr>
        <w:t>80,7</w:t>
      </w:r>
      <w:r w:rsidRPr="00C02242">
        <w:rPr>
          <w:rFonts w:ascii="Times New Roman" w:hAnsi="Times New Roman"/>
        </w:rPr>
        <w:t xml:space="preserve"> por ciento</w:t>
      </w:r>
      <w:r>
        <w:rPr>
          <w:rFonts w:ascii="Times New Roman" w:hAnsi="Times New Roman"/>
        </w:rPr>
        <w:t xml:space="preserve">,  con un </w:t>
      </w:r>
      <w:r w:rsidRPr="00C02242">
        <w:rPr>
          <w:rFonts w:ascii="Times New Roman" w:hAnsi="Times New Roman"/>
        </w:rPr>
        <w:t>avance de</w:t>
      </w:r>
      <w:r>
        <w:rPr>
          <w:rFonts w:ascii="Times New Roman" w:hAnsi="Times New Roman"/>
        </w:rPr>
        <w:t>l</w:t>
      </w:r>
      <w:r w:rsidRPr="00C02242">
        <w:rPr>
          <w:rFonts w:ascii="Times New Roman" w:hAnsi="Times New Roman"/>
        </w:rPr>
        <w:t xml:space="preserve"> </w:t>
      </w:r>
      <w:r>
        <w:rPr>
          <w:rFonts w:ascii="Times New Roman" w:hAnsi="Times New Roman"/>
        </w:rPr>
        <w:t xml:space="preserve">88,1 </w:t>
      </w:r>
      <w:r w:rsidRPr="00C02242">
        <w:rPr>
          <w:rFonts w:ascii="Times New Roman" w:hAnsi="Times New Roman"/>
        </w:rPr>
        <w:t>por ciento en gastos corrientes y de</w:t>
      </w:r>
      <w:r>
        <w:rPr>
          <w:rFonts w:ascii="Times New Roman" w:hAnsi="Times New Roman"/>
        </w:rPr>
        <w:t>l</w:t>
      </w:r>
      <w:r w:rsidRPr="00C02242">
        <w:rPr>
          <w:rFonts w:ascii="Times New Roman" w:hAnsi="Times New Roman"/>
        </w:rPr>
        <w:t xml:space="preserve"> </w:t>
      </w:r>
      <w:r>
        <w:rPr>
          <w:rFonts w:ascii="Times New Roman" w:hAnsi="Times New Roman"/>
        </w:rPr>
        <w:t xml:space="preserve">75,5 </w:t>
      </w:r>
      <w:r w:rsidRPr="00C02242">
        <w:rPr>
          <w:rFonts w:ascii="Times New Roman" w:hAnsi="Times New Roman"/>
        </w:rPr>
        <w:t>por ciento en gastos de capital</w:t>
      </w:r>
      <w:r>
        <w:rPr>
          <w:rFonts w:ascii="Times New Roman" w:hAnsi="Times New Roman"/>
        </w:rPr>
        <w:t xml:space="preserve">. </w:t>
      </w:r>
    </w:p>
    <w:p w:rsidR="004003AE" w:rsidRDefault="004003AE" w:rsidP="0097000A">
      <w:pPr>
        <w:pStyle w:val="SBS"/>
        <w:rPr>
          <w:rFonts w:ascii="Times New Roman" w:hAnsi="Times New Roman"/>
        </w:rPr>
        <w:sectPr w:rsidR="004003AE" w:rsidSect="004003AE">
          <w:headerReference w:type="even" r:id="rId124"/>
          <w:headerReference w:type="default" r:id="rId125"/>
          <w:footerReference w:type="default" r:id="rId126"/>
          <w:type w:val="continuous"/>
          <w:pgSz w:w="11907" w:h="16840" w:code="9"/>
          <w:pgMar w:top="1418" w:right="1701" w:bottom="1418" w:left="1701" w:header="720" w:footer="720" w:gutter="0"/>
          <w:cols w:num="2" w:space="720"/>
        </w:sectPr>
      </w:pPr>
    </w:p>
    <w:p w:rsidR="00EC3F50" w:rsidRDefault="00EC3F50" w:rsidP="0097000A">
      <w:pPr>
        <w:pStyle w:val="SBS"/>
        <w:rPr>
          <w:rFonts w:ascii="Times New Roman" w:hAnsi="Times New Roman"/>
        </w:rPr>
      </w:pPr>
    </w:p>
    <w:p w:rsidR="00122A01" w:rsidRDefault="00122A01" w:rsidP="0097000A">
      <w:pPr>
        <w:pStyle w:val="SBS"/>
        <w:rPr>
          <w:rFonts w:ascii="Times New Roman" w:hAnsi="Times New Roman"/>
        </w:rPr>
      </w:pPr>
    </w:p>
    <w:p w:rsidR="00122A01" w:rsidRDefault="00122A01" w:rsidP="0097000A">
      <w:pPr>
        <w:pStyle w:val="SBS"/>
        <w:rPr>
          <w:rFonts w:ascii="Times New Roman" w:hAnsi="Times New Roman"/>
        </w:rPr>
      </w:pPr>
    </w:p>
    <w:p w:rsidR="00122A01" w:rsidRDefault="00122A01" w:rsidP="0097000A">
      <w:pPr>
        <w:pStyle w:val="SBS"/>
        <w:rPr>
          <w:rFonts w:ascii="Times New Roman" w:hAnsi="Times New Roman"/>
        </w:rPr>
      </w:pPr>
    </w:p>
    <w:p w:rsidR="00466446" w:rsidRDefault="00466446" w:rsidP="0097000A">
      <w:pPr>
        <w:pStyle w:val="SBS"/>
        <w:rPr>
          <w:rFonts w:ascii="Times New Roman" w:hAnsi="Times New Roman"/>
        </w:rPr>
      </w:pPr>
    </w:p>
    <w:p w:rsidR="009A7C2F" w:rsidRDefault="009A7C2F" w:rsidP="0097000A">
      <w:pPr>
        <w:pStyle w:val="SBS"/>
        <w:rPr>
          <w:color w:val="FF0000"/>
          <w:highlight w:val="yellow"/>
        </w:rPr>
        <w:sectPr w:rsidR="009A7C2F">
          <w:type w:val="continuous"/>
          <w:pgSz w:w="11907" w:h="16840" w:code="9"/>
          <w:pgMar w:top="1418" w:right="1701" w:bottom="1418" w:left="1701" w:header="720" w:footer="720" w:gutter="0"/>
          <w:cols w:num="2" w:space="720"/>
        </w:sectPr>
      </w:pPr>
    </w:p>
    <w:p w:rsidR="00852557" w:rsidRPr="00AC71AC" w:rsidRDefault="00852557" w:rsidP="0008391D">
      <w:pPr>
        <w:pStyle w:val="Ttulo4"/>
        <w:keepNext w:val="0"/>
        <w:numPr>
          <w:ilvl w:val="0"/>
          <w:numId w:val="2"/>
        </w:numPr>
        <w:tabs>
          <w:tab w:val="clear" w:pos="-1099"/>
        </w:tabs>
        <w:jc w:val="left"/>
      </w:pPr>
      <w:r w:rsidRPr="00AC71AC">
        <w:lastRenderedPageBreak/>
        <w:t>MONEDA Y CRÉDITO</w:t>
      </w:r>
    </w:p>
    <w:p w:rsidR="00852557" w:rsidRPr="00807AEC" w:rsidRDefault="00852557" w:rsidP="00253F18">
      <w:pPr>
        <w:pStyle w:val="Encabezado"/>
      </w:pPr>
    </w:p>
    <w:p w:rsidR="00852557" w:rsidRPr="0008391D" w:rsidRDefault="00852557" w:rsidP="0008391D">
      <w:pPr>
        <w:rPr>
          <w:b/>
        </w:rPr>
      </w:pPr>
      <w:r w:rsidRPr="00807AEC">
        <w:rPr>
          <w:b/>
        </w:rPr>
        <w:t>5.1.</w:t>
      </w:r>
      <w:r w:rsidRPr="00807AEC">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27"/>
          <w:headerReference w:type="default" r:id="rId128"/>
          <w:footerReference w:type="even" r:id="rId129"/>
          <w:footerReference w:type="default" r:id="rId130"/>
          <w:headerReference w:type="first" r:id="rId131"/>
          <w:footerReference w:type="first" r:id="rId132"/>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171E51" w:rsidRDefault="00171E51" w:rsidP="00171E51">
      <w:pPr>
        <w:pStyle w:val="SBS"/>
        <w:rPr>
          <w:rFonts w:ascii="Times New Roman" w:hAnsi="Times New Roman"/>
        </w:rPr>
      </w:pPr>
      <w:r>
        <w:rPr>
          <w:rFonts w:ascii="Times New Roman" w:hAnsi="Times New Roman"/>
        </w:rPr>
        <w:lastRenderedPageBreak/>
        <w:t xml:space="preserve">En diciembre, el saldo de depósitos del sistema financiero bordeó S/.2 746,4 millones y mostró un incremento de 14,5 por ciento respecto del registrado en el mismo mes del año anterior. Esto obedeció a la expansión de las captaciones de las empresas bancarias (18,6 por ciento) e </w:t>
      </w:r>
      <w:r>
        <w:rPr>
          <w:rFonts w:ascii="Times New Roman" w:hAnsi="Times New Roman"/>
        </w:rPr>
        <w:lastRenderedPageBreak/>
        <w:t xml:space="preserve">instituciones de microfinanzas (8,6 por ciento). </w:t>
      </w:r>
    </w:p>
    <w:p w:rsidR="00171E51" w:rsidRDefault="00171E51" w:rsidP="00171E51">
      <w:pPr>
        <w:pStyle w:val="SBS"/>
        <w:rPr>
          <w:rFonts w:ascii="Times New Roman" w:hAnsi="Times New Roman"/>
        </w:rPr>
        <w:sectPr w:rsidR="00171E51" w:rsidSect="00171E51">
          <w:type w:val="continuous"/>
          <w:pgSz w:w="11907" w:h="16840" w:code="9"/>
          <w:pgMar w:top="1531" w:right="1701" w:bottom="1531" w:left="1701" w:header="709" w:footer="709" w:gutter="0"/>
          <w:cols w:num="2" w:space="720"/>
          <w:docGrid w:linePitch="360"/>
        </w:sectPr>
      </w:pPr>
      <w:r>
        <w:rPr>
          <w:rFonts w:ascii="Times New Roman" w:hAnsi="Times New Roman"/>
        </w:rPr>
        <w:t>Los depósitos en moneda nacional representaron el 61,8 por ciento del total y observaron un crecimiento interanual del 8,5 por ciento, frente a 25,6 por ciento de las captaciones en moneda extranjera.</w:t>
      </w:r>
    </w:p>
    <w:p w:rsidR="007D32DE" w:rsidRDefault="007D32DE" w:rsidP="001308C6">
      <w:pPr>
        <w:pStyle w:val="SBS"/>
        <w:rPr>
          <w:rFonts w:ascii="Times New Roman" w:hAnsi="Times New Roman"/>
        </w:rPr>
        <w:sectPr w:rsidR="007D32DE" w:rsidSect="001D5F9A">
          <w:type w:val="continuous"/>
          <w:pgSz w:w="11907" w:h="16840" w:code="9"/>
          <w:pgMar w:top="1531" w:right="1701" w:bottom="1531" w:left="1701" w:header="709" w:footer="709" w:gutter="0"/>
          <w:cols w:num="2" w:space="720"/>
          <w:docGrid w:linePitch="360"/>
        </w:sectPr>
      </w:pPr>
    </w:p>
    <w:p w:rsidR="00852557" w:rsidRDefault="00171E51">
      <w:pPr>
        <w:pStyle w:val="Textoindependiente"/>
        <w:jc w:val="center"/>
        <w:rPr>
          <w:rFonts w:ascii="Times New Roman" w:hAnsi="Times New Roman"/>
          <w:color w:val="FF0000"/>
          <w:sz w:val="22"/>
          <w:lang w:val="es-ES_tradnl"/>
        </w:rPr>
        <w:sectPr w:rsidR="00852557">
          <w:headerReference w:type="default" r:id="rId133"/>
          <w:footerReference w:type="default" r:id="rId134"/>
          <w:type w:val="continuous"/>
          <w:pgSz w:w="11907" w:h="16840" w:code="9"/>
          <w:pgMar w:top="1531" w:right="1701" w:bottom="1531" w:left="1701" w:header="709" w:footer="709" w:gutter="0"/>
          <w:cols w:space="720"/>
          <w:docGrid w:linePitch="360"/>
        </w:sectPr>
      </w:pPr>
      <w:r w:rsidRPr="00EB0090">
        <w:rPr>
          <w:rFonts w:ascii="Times New Roman" w:hAnsi="Times New Roman"/>
          <w:color w:val="FF0000"/>
          <w:sz w:val="22"/>
          <w:lang w:val="es-ES_tradnl"/>
        </w:rPr>
        <w:object w:dxaOrig="5670" w:dyaOrig="4155">
          <v:shape id="_x0000_i1057" type="#_x0000_t75" style="width:283.5pt;height:207.75pt" o:ole="">
            <v:imagedata r:id="rId135" o:title=""/>
          </v:shape>
          <o:OLEObject Type="Embed" ProgID="Excel.Sheet.12" ShapeID="_x0000_i1057" DrawAspect="Content" ObjectID="_1423063394" r:id="rId136"/>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171E51" w:rsidRDefault="00171E51" w:rsidP="00171E51">
      <w:pPr>
        <w:pStyle w:val="Textoindependiente"/>
        <w:rPr>
          <w:rFonts w:ascii="Times New Roman" w:hAnsi="Times New Roman"/>
          <w:sz w:val="22"/>
        </w:rPr>
      </w:pPr>
      <w:r>
        <w:rPr>
          <w:rFonts w:ascii="Times New Roman" w:hAnsi="Times New Roman"/>
          <w:sz w:val="22"/>
        </w:rPr>
        <w:lastRenderedPageBreak/>
        <w:t xml:space="preserve">La mayor participación en el saldo total de captaciones, correspondió a los depósitos a plazo (43,5 por ciento del total); sin </w:t>
      </w:r>
      <w:r>
        <w:rPr>
          <w:rFonts w:ascii="Times New Roman" w:hAnsi="Times New Roman"/>
          <w:sz w:val="22"/>
        </w:rPr>
        <w:lastRenderedPageBreak/>
        <w:t>embargo, el mayor incremento interanual correspondió a los depósitos a la vista (41,6 por ciento).</w:t>
      </w: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852557">
      <w:pPr>
        <w:pStyle w:val="Textoindependiente"/>
        <w:jc w:val="center"/>
        <w:outlineLvl w:val="0"/>
        <w:rPr>
          <w:rFonts w:ascii="Times New Roman" w:hAnsi="Times New Roman"/>
          <w:color w:val="FF0000"/>
          <w:sz w:val="22"/>
        </w:rPr>
      </w:pPr>
    </w:p>
    <w:p w:rsidR="006D3939" w:rsidRDefault="00171E51">
      <w:pPr>
        <w:pStyle w:val="Textoindependiente"/>
        <w:jc w:val="center"/>
        <w:outlineLvl w:val="0"/>
        <w:rPr>
          <w:rFonts w:ascii="Times New Roman" w:hAnsi="Times New Roman"/>
          <w:color w:val="FF0000"/>
          <w:sz w:val="22"/>
        </w:rPr>
      </w:pPr>
      <w:r w:rsidRPr="00EB0090">
        <w:rPr>
          <w:rFonts w:ascii="Times New Roman" w:hAnsi="Times New Roman"/>
          <w:color w:val="FF0000"/>
          <w:sz w:val="22"/>
        </w:rPr>
        <w:object w:dxaOrig="5670" w:dyaOrig="3150">
          <v:shape id="_x0000_i1058" type="#_x0000_t75" style="width:283.5pt;height:157.5pt" o:ole="">
            <v:imagedata r:id="rId137" o:title=""/>
          </v:shape>
          <o:OLEObject Type="Embed" ProgID="Excel.Sheet.12" ShapeID="_x0000_i1058" DrawAspect="Content" ObjectID="_1423063395" r:id="rId138"/>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171E51" w:rsidRDefault="00171E51" w:rsidP="00171E51">
      <w:pPr>
        <w:pStyle w:val="Textoindependiente"/>
        <w:outlineLvl w:val="0"/>
        <w:rPr>
          <w:rFonts w:ascii="Times New Roman" w:hAnsi="Times New Roman"/>
          <w:sz w:val="22"/>
        </w:rPr>
      </w:pPr>
      <w:r>
        <w:rPr>
          <w:rFonts w:ascii="Times New Roman" w:hAnsi="Times New Roman"/>
          <w:sz w:val="22"/>
        </w:rPr>
        <w:lastRenderedPageBreak/>
        <w:t xml:space="preserve">El Banco Crédito es la entidad que mostró la mayor participación en el saldo total de depósitos (31,6 por ciento), seguido de la Caja Piura (19,2 por ciento) y del Banco </w:t>
      </w:r>
      <w:r>
        <w:rPr>
          <w:rFonts w:ascii="Times New Roman" w:hAnsi="Times New Roman"/>
          <w:sz w:val="22"/>
        </w:rPr>
        <w:lastRenderedPageBreak/>
        <w:t>Continental (12,4 por ciento). Estas tres entidades, en conjunto, dieron cuenta del 63,2 por ciento de las captaciones del sistema financiero en la región.</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171E51">
      <w:pPr>
        <w:pStyle w:val="Textoindependiente"/>
        <w:jc w:val="center"/>
        <w:rPr>
          <w:rFonts w:ascii="Times New Roman" w:hAnsi="Times New Roman"/>
          <w:sz w:val="22"/>
        </w:rPr>
      </w:pPr>
      <w:r w:rsidRPr="00EB0090">
        <w:rPr>
          <w:rFonts w:ascii="Times New Roman" w:hAnsi="Times New Roman"/>
          <w:sz w:val="22"/>
        </w:rPr>
        <w:object w:dxaOrig="5670" w:dyaOrig="7185">
          <v:shape id="_x0000_i1059" type="#_x0000_t75" style="width:283.5pt;height:336.75pt" o:ole="">
            <v:imagedata r:id="rId139" o:title=""/>
          </v:shape>
          <o:OLEObject Type="Embed" ProgID="Excel.Sheet.12" ShapeID="_x0000_i1059" DrawAspect="Content" ObjectID="_1423063396" r:id="rId140"/>
        </w:object>
      </w:r>
    </w:p>
    <w:p w:rsidR="009A7C2F" w:rsidRDefault="009A7C2F" w:rsidP="00962658">
      <w:pPr>
        <w:pStyle w:val="Textoindependiente"/>
        <w:rPr>
          <w:rFonts w:ascii="Times New Roman" w:hAnsi="Times New Roman"/>
          <w:sz w:val="22"/>
        </w:rPr>
      </w:pPr>
    </w:p>
    <w:p w:rsidR="00CA42A6" w:rsidRDefault="00CA42A6">
      <w:pPr>
        <w:pStyle w:val="Textoindependiente"/>
        <w:jc w:val="center"/>
        <w:rPr>
          <w:rFonts w:ascii="Times New Roman" w:hAnsi="Times New Roman"/>
          <w:sz w:val="22"/>
        </w:rPr>
        <w:sectPr w:rsidR="00CA42A6">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807AEC">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171E51" w:rsidRDefault="00171E51" w:rsidP="00171E51">
      <w:pPr>
        <w:pStyle w:val="Piedepgina"/>
        <w:tabs>
          <w:tab w:val="clear" w:pos="4419"/>
          <w:tab w:val="clear" w:pos="8838"/>
        </w:tabs>
        <w:outlineLvl w:val="0"/>
        <w:rPr>
          <w:sz w:val="22"/>
          <w:lang w:val="es-ES_tradnl"/>
        </w:rPr>
      </w:pPr>
      <w:r>
        <w:rPr>
          <w:sz w:val="22"/>
        </w:rPr>
        <w:lastRenderedPageBreak/>
        <w:t xml:space="preserve">En diciembre, el </w:t>
      </w:r>
      <w:r>
        <w:rPr>
          <w:sz w:val="22"/>
          <w:lang w:val="es-ES_tradnl"/>
        </w:rPr>
        <w:t>saldo de créditos del sistema financiero ascendió a S/. 4 76</w:t>
      </w:r>
      <w:r w:rsidR="00F2504B">
        <w:rPr>
          <w:sz w:val="22"/>
          <w:lang w:val="es-ES_tradnl"/>
        </w:rPr>
        <w:t>0</w:t>
      </w:r>
      <w:r>
        <w:rPr>
          <w:sz w:val="22"/>
          <w:lang w:val="es-ES_tradnl"/>
        </w:rPr>
        <w:t>,</w:t>
      </w:r>
      <w:r w:rsidR="007E1B9F">
        <w:rPr>
          <w:sz w:val="22"/>
          <w:lang w:val="es-ES_tradnl"/>
        </w:rPr>
        <w:t>9</w:t>
      </w:r>
      <w:r>
        <w:rPr>
          <w:sz w:val="22"/>
          <w:lang w:val="es-ES_tradnl"/>
        </w:rPr>
        <w:t xml:space="preserve"> millones, siendo 10,</w:t>
      </w:r>
      <w:r w:rsidR="007E1B9F">
        <w:rPr>
          <w:sz w:val="22"/>
          <w:lang w:val="es-ES_tradnl"/>
        </w:rPr>
        <w:t>5</w:t>
      </w:r>
      <w:r>
        <w:rPr>
          <w:sz w:val="22"/>
          <w:lang w:val="es-ES_tradnl"/>
        </w:rPr>
        <w:t xml:space="preserve"> por ciento superior respecto al registrado en el mismo mes del año previo. Esto radicó en la expansión de las colocaciones de las empresas bancarias (13,2 por ciento) y entidades de </w:t>
      </w:r>
      <w:r w:rsidR="007E1B9F">
        <w:rPr>
          <w:sz w:val="22"/>
          <w:lang w:val="es-ES_tradnl"/>
        </w:rPr>
        <w:br w:type="column"/>
      </w:r>
      <w:r>
        <w:rPr>
          <w:sz w:val="22"/>
          <w:lang w:val="es-ES_tradnl"/>
        </w:rPr>
        <w:lastRenderedPageBreak/>
        <w:t>microcrédito (</w:t>
      </w:r>
      <w:r w:rsidR="007E1B9F">
        <w:rPr>
          <w:sz w:val="22"/>
          <w:lang w:val="es-ES_tradnl"/>
        </w:rPr>
        <w:t>5</w:t>
      </w:r>
      <w:r>
        <w:rPr>
          <w:sz w:val="22"/>
          <w:lang w:val="es-ES_tradnl"/>
        </w:rPr>
        <w:t>,</w:t>
      </w:r>
      <w:r w:rsidR="007E1B9F">
        <w:rPr>
          <w:sz w:val="22"/>
          <w:lang w:val="es-ES_tradnl"/>
        </w:rPr>
        <w:t>6</w:t>
      </w:r>
      <w:r>
        <w:rPr>
          <w:sz w:val="22"/>
          <w:lang w:val="es-ES_tradnl"/>
        </w:rPr>
        <w:t xml:space="preserve"> por ciento).      </w:t>
      </w:r>
    </w:p>
    <w:p w:rsidR="007E1B9F" w:rsidRDefault="00171E51" w:rsidP="00171E51">
      <w:pPr>
        <w:pStyle w:val="Piedepgina"/>
        <w:tabs>
          <w:tab w:val="clear" w:pos="4419"/>
          <w:tab w:val="clear" w:pos="8838"/>
        </w:tabs>
        <w:outlineLvl w:val="0"/>
        <w:rPr>
          <w:sz w:val="22"/>
          <w:lang w:val="es-ES_tradnl"/>
        </w:rPr>
        <w:sectPr w:rsidR="007E1B9F" w:rsidSect="007E1B9F">
          <w:type w:val="continuous"/>
          <w:pgSz w:w="11907" w:h="16840"/>
          <w:pgMar w:top="1418" w:right="1701" w:bottom="1418" w:left="1701" w:header="720" w:footer="720" w:gutter="0"/>
          <w:cols w:num="2" w:space="720"/>
        </w:sectPr>
      </w:pPr>
      <w:r>
        <w:rPr>
          <w:sz w:val="22"/>
          <w:lang w:val="es-ES_tradnl"/>
        </w:rPr>
        <w:t>Las colocaciones en   moneda    nacional representaron el 78,2 del total y mostraron una expansión interanual del 1</w:t>
      </w:r>
      <w:r w:rsidR="007E1B9F">
        <w:rPr>
          <w:sz w:val="22"/>
          <w:lang w:val="es-ES_tradnl"/>
        </w:rPr>
        <w:t>3</w:t>
      </w:r>
      <w:r>
        <w:rPr>
          <w:sz w:val="22"/>
          <w:lang w:val="es-ES_tradnl"/>
        </w:rPr>
        <w:t>,</w:t>
      </w:r>
      <w:r w:rsidR="007E1B9F">
        <w:rPr>
          <w:sz w:val="22"/>
          <w:lang w:val="es-ES_tradnl"/>
        </w:rPr>
        <w:t>9</w:t>
      </w:r>
      <w:r>
        <w:rPr>
          <w:sz w:val="22"/>
          <w:lang w:val="es-ES_tradnl"/>
        </w:rPr>
        <w:t>, mientras que los créditos en moneda extranjera tuvieron un leve descenso del 0,1 por ciento.</w:t>
      </w:r>
    </w:p>
    <w:p w:rsidR="00CA42A6" w:rsidRDefault="00CA42A6" w:rsidP="006D3939">
      <w:pPr>
        <w:pStyle w:val="Piedepgina"/>
        <w:tabs>
          <w:tab w:val="clear" w:pos="4419"/>
          <w:tab w:val="clear" w:pos="8838"/>
        </w:tabs>
        <w:outlineLvl w:val="0"/>
        <w:rPr>
          <w:sz w:val="22"/>
          <w:lang w:val="es-ES_tradnl"/>
        </w:rPr>
      </w:pPr>
    </w:p>
    <w:p w:rsidR="006D3939" w:rsidRDefault="006D3939" w:rsidP="006D3939">
      <w:pPr>
        <w:pStyle w:val="Piedepgina"/>
        <w:tabs>
          <w:tab w:val="clear" w:pos="4419"/>
          <w:tab w:val="clear" w:pos="8838"/>
        </w:tabs>
        <w:outlineLvl w:val="0"/>
        <w:rPr>
          <w:sz w:val="22"/>
          <w:lang w:val="es-ES_tradnl"/>
        </w:rPr>
      </w:pPr>
    </w:p>
    <w:p w:rsidR="00CA42A6" w:rsidRDefault="00CA42A6" w:rsidP="001D5F9A">
      <w:pPr>
        <w:pStyle w:val="Piedepgina"/>
        <w:tabs>
          <w:tab w:val="clear" w:pos="4419"/>
          <w:tab w:val="clear" w:pos="8838"/>
        </w:tabs>
        <w:outlineLvl w:val="0"/>
        <w:rPr>
          <w:sz w:val="22"/>
        </w:rPr>
        <w:sectPr w:rsidR="00CA42A6" w:rsidSect="006A54C0">
          <w:type w:val="continuous"/>
          <w:pgSz w:w="11907" w:h="16840"/>
          <w:pgMar w:top="1418" w:right="1701" w:bottom="1418" w:left="1701" w:header="720" w:footer="720" w:gutter="0"/>
          <w:cols w:num="2" w:space="720"/>
        </w:sectPr>
      </w:pPr>
    </w:p>
    <w:p w:rsidR="006A54C0" w:rsidRDefault="00171E51" w:rsidP="00AC3F0F">
      <w:pPr>
        <w:pStyle w:val="Piedepgina"/>
        <w:tabs>
          <w:tab w:val="clear" w:pos="4419"/>
          <w:tab w:val="clear" w:pos="8838"/>
        </w:tabs>
        <w:jc w:val="center"/>
        <w:outlineLvl w:val="0"/>
        <w:rPr>
          <w:sz w:val="22"/>
        </w:rPr>
      </w:pPr>
      <w:r w:rsidRPr="00EB0090">
        <w:rPr>
          <w:sz w:val="22"/>
          <w:lang w:val="es-ES_tradnl"/>
        </w:rPr>
        <w:object w:dxaOrig="5982" w:dyaOrig="4467">
          <v:shape id="_x0000_i1060" type="#_x0000_t75" style="width:299.25pt;height:198.75pt" o:ole="">
            <v:imagedata r:id="rId141" o:title=""/>
          </v:shape>
          <o:OLEObject Type="Embed" ProgID="Excel.Sheet.12" ShapeID="_x0000_i1060" DrawAspect="Content" ObjectID="_1423063397" r:id="rId142"/>
        </w:object>
      </w:r>
    </w:p>
    <w:p w:rsidR="001308C6" w:rsidRDefault="001308C6" w:rsidP="00AC3F0F">
      <w:pPr>
        <w:pStyle w:val="Piedepgina"/>
        <w:tabs>
          <w:tab w:val="clear" w:pos="4419"/>
          <w:tab w:val="clear" w:pos="8838"/>
        </w:tabs>
        <w:jc w:val="center"/>
        <w:outlineLvl w:val="0"/>
        <w:rPr>
          <w:sz w:val="22"/>
        </w:rPr>
        <w:sectPr w:rsidR="001308C6" w:rsidSect="001D5F9A">
          <w:type w:val="continuous"/>
          <w:pgSz w:w="11907" w:h="16840"/>
          <w:pgMar w:top="1418" w:right="1701" w:bottom="1418" w:left="1701" w:header="720" w:footer="720" w:gutter="0"/>
          <w:cols w:space="720"/>
        </w:sectPr>
      </w:pPr>
    </w:p>
    <w:p w:rsidR="00EC6528" w:rsidRDefault="00EC6528"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pPr>
    </w:p>
    <w:p w:rsidR="006D3939" w:rsidRDefault="006D3939" w:rsidP="001D5F9A">
      <w:pPr>
        <w:pStyle w:val="Piedepgina"/>
        <w:tabs>
          <w:tab w:val="clear" w:pos="4419"/>
          <w:tab w:val="clear" w:pos="8838"/>
        </w:tabs>
        <w:outlineLvl w:val="0"/>
        <w:rPr>
          <w:sz w:val="22"/>
        </w:rPr>
        <w:sectPr w:rsidR="006D3939" w:rsidSect="00B225F2">
          <w:type w:val="continuous"/>
          <w:pgSz w:w="11907" w:h="16840"/>
          <w:pgMar w:top="1418" w:right="1701" w:bottom="1418" w:left="1701" w:header="720" w:footer="720" w:gutter="0"/>
          <w:cols w:num="2" w:space="720"/>
        </w:sectPr>
      </w:pPr>
    </w:p>
    <w:p w:rsidR="00171E51" w:rsidRDefault="00171E51" w:rsidP="00171E51">
      <w:pPr>
        <w:pStyle w:val="Piedepgina"/>
        <w:tabs>
          <w:tab w:val="clear" w:pos="4419"/>
          <w:tab w:val="clear" w:pos="8838"/>
        </w:tabs>
        <w:outlineLvl w:val="0"/>
        <w:rPr>
          <w:sz w:val="22"/>
        </w:rPr>
      </w:pPr>
      <w:r>
        <w:rPr>
          <w:sz w:val="22"/>
        </w:rPr>
        <w:lastRenderedPageBreak/>
        <w:t xml:space="preserve">El Banco Crédito registró la mayor participación (20,1 por ciento) en el saldo total de créditos, secundado por el Banco Continental (19,3 por ciento) y </w:t>
      </w:r>
      <w:smartTag w:uri="urn:schemas-microsoft-com:office:smarttags" w:element="PersonName">
        <w:smartTagPr>
          <w:attr w:name="ProductID" w:val="la Caja"/>
        </w:smartTagPr>
        <w:r>
          <w:rPr>
            <w:sz w:val="22"/>
          </w:rPr>
          <w:t>la Caja</w:t>
        </w:r>
      </w:smartTag>
      <w:r>
        <w:rPr>
          <w:sz w:val="22"/>
        </w:rPr>
        <w:t xml:space="preserve"> Municipal de Sullana (9,7 por ciento). Estas </w:t>
      </w:r>
      <w:r>
        <w:rPr>
          <w:sz w:val="22"/>
        </w:rPr>
        <w:lastRenderedPageBreak/>
        <w:t>tres entidades representaron, conjuntamente, el 49,1 por ciento de las colocaciones del sistema financiero regional.</w:t>
      </w:r>
    </w:p>
    <w:p w:rsidR="006B253D" w:rsidRDefault="006B253D" w:rsidP="001317A0">
      <w:pPr>
        <w:pStyle w:val="Piedepgina"/>
        <w:tabs>
          <w:tab w:val="clear" w:pos="4419"/>
          <w:tab w:val="clear" w:pos="8838"/>
        </w:tabs>
        <w:outlineLvl w:val="0"/>
        <w:rPr>
          <w:sz w:val="22"/>
        </w:rPr>
        <w:sectPr w:rsidR="006B253D" w:rsidSect="006B253D">
          <w:type w:val="continuous"/>
          <w:pgSz w:w="11907" w:h="16840"/>
          <w:pgMar w:top="1418" w:right="1701" w:bottom="1418" w:left="1701" w:header="720" w:footer="720" w:gutter="0"/>
          <w:cols w:num="2" w:space="720"/>
        </w:sectPr>
      </w:pPr>
    </w:p>
    <w:p w:rsidR="001317A0" w:rsidRDefault="001317A0" w:rsidP="001317A0">
      <w:pPr>
        <w:pStyle w:val="Piedepgina"/>
        <w:tabs>
          <w:tab w:val="clear" w:pos="4419"/>
          <w:tab w:val="clear" w:pos="8838"/>
        </w:tabs>
        <w:outlineLvl w:val="0"/>
        <w:rPr>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171E51">
      <w:pPr>
        <w:pStyle w:val="Piedepgina"/>
        <w:tabs>
          <w:tab w:val="clear" w:pos="4419"/>
          <w:tab w:val="clear" w:pos="8838"/>
        </w:tabs>
        <w:jc w:val="center"/>
        <w:outlineLvl w:val="0"/>
        <w:rPr>
          <w:color w:val="FF0000"/>
          <w:sz w:val="22"/>
        </w:rPr>
      </w:pPr>
      <w:r w:rsidRPr="00EB0090">
        <w:rPr>
          <w:color w:val="FF0000"/>
          <w:sz w:val="22"/>
        </w:rPr>
        <w:object w:dxaOrig="5982" w:dyaOrig="8744">
          <v:shape id="_x0000_i1061" type="#_x0000_t75" style="width:299.25pt;height:381pt" o:ole="">
            <v:imagedata r:id="rId143" o:title=""/>
          </v:shape>
          <o:OLEObject Type="Embed" ProgID="Excel.Sheet.12" ShapeID="_x0000_i1061" DrawAspect="Content" ObjectID="_1423063398" r:id="rId144"/>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171E51" w:rsidRDefault="00171E51" w:rsidP="00171E51">
      <w:pPr>
        <w:pStyle w:val="Textoindependiente"/>
        <w:rPr>
          <w:rFonts w:ascii="Times New Roman" w:hAnsi="Times New Roman"/>
          <w:sz w:val="22"/>
          <w:szCs w:val="22"/>
        </w:rPr>
      </w:pPr>
      <w:r>
        <w:rPr>
          <w:rFonts w:ascii="Times New Roman" w:hAnsi="Times New Roman"/>
          <w:sz w:val="22"/>
          <w:szCs w:val="22"/>
        </w:rPr>
        <w:lastRenderedPageBreak/>
        <w:t>En diciembre, el saldo de las colocaciones superó al de las captaciones, en S/.2 0</w:t>
      </w:r>
      <w:r w:rsidR="00590EA8">
        <w:rPr>
          <w:rFonts w:ascii="Times New Roman" w:hAnsi="Times New Roman"/>
          <w:sz w:val="22"/>
          <w:szCs w:val="22"/>
        </w:rPr>
        <w:t>14</w:t>
      </w:r>
      <w:r>
        <w:rPr>
          <w:rFonts w:ascii="Times New Roman" w:hAnsi="Times New Roman"/>
          <w:sz w:val="22"/>
          <w:szCs w:val="22"/>
        </w:rPr>
        <w:t>,</w:t>
      </w:r>
      <w:r w:rsidR="00590EA8">
        <w:rPr>
          <w:rFonts w:ascii="Times New Roman" w:hAnsi="Times New Roman"/>
          <w:sz w:val="22"/>
          <w:szCs w:val="22"/>
        </w:rPr>
        <w:t>6</w:t>
      </w:r>
      <w:r>
        <w:rPr>
          <w:rFonts w:ascii="Times New Roman" w:hAnsi="Times New Roman"/>
          <w:sz w:val="22"/>
          <w:szCs w:val="22"/>
        </w:rPr>
        <w:t xml:space="preserve"> millones; es decir, en 73,</w:t>
      </w:r>
      <w:r w:rsidR="00590EA8">
        <w:rPr>
          <w:rFonts w:ascii="Times New Roman" w:hAnsi="Times New Roman"/>
          <w:sz w:val="22"/>
          <w:szCs w:val="22"/>
        </w:rPr>
        <w:t>4</w:t>
      </w:r>
      <w:r>
        <w:rPr>
          <w:rFonts w:ascii="Times New Roman" w:hAnsi="Times New Roman"/>
          <w:sz w:val="22"/>
          <w:szCs w:val="22"/>
        </w:rPr>
        <w:t xml:space="preserve"> por ciento. </w:t>
      </w:r>
      <w:r>
        <w:rPr>
          <w:rFonts w:ascii="Times New Roman" w:hAnsi="Times New Roman"/>
          <w:sz w:val="22"/>
          <w:szCs w:val="22"/>
        </w:rPr>
        <w:br w:type="column"/>
      </w:r>
      <w:r w:rsidRPr="00ED2B80">
        <w:rPr>
          <w:rFonts w:ascii="Times New Roman" w:hAnsi="Times New Roman"/>
          <w:sz w:val="22"/>
          <w:szCs w:val="22"/>
        </w:rPr>
        <w:lastRenderedPageBreak/>
        <w:t>Los créditos de consumo</w:t>
      </w:r>
      <w:r>
        <w:rPr>
          <w:rFonts w:ascii="Times New Roman" w:hAnsi="Times New Roman"/>
          <w:sz w:val="22"/>
          <w:szCs w:val="22"/>
        </w:rPr>
        <w:t xml:space="preserve"> predominaron dentro del total, con una importancia relativa del 33,8 por ciento.</w:t>
      </w:r>
    </w:p>
    <w:p w:rsidR="00A6466F" w:rsidRDefault="00A6466F" w:rsidP="001E641D">
      <w:pPr>
        <w:pStyle w:val="Textoindependiente"/>
        <w:rPr>
          <w:rFonts w:ascii="Times New Roman" w:hAnsi="Times New Roman"/>
          <w:sz w:val="22"/>
          <w:szCs w:val="22"/>
        </w:rPr>
      </w:pPr>
    </w:p>
    <w:p w:rsidR="00A6466F" w:rsidRDefault="00A6466F" w:rsidP="001E641D">
      <w:pPr>
        <w:pStyle w:val="Textoindependiente"/>
        <w:rPr>
          <w:rFonts w:ascii="Times New Roman" w:hAnsi="Times New Roman"/>
          <w:sz w:val="22"/>
          <w:szCs w:val="22"/>
        </w:rPr>
        <w:sectPr w:rsidR="00A6466F" w:rsidSect="007B2C84">
          <w:type w:val="continuous"/>
          <w:pgSz w:w="11907" w:h="16840"/>
          <w:pgMar w:top="1418" w:right="1701" w:bottom="1418" w:left="1701" w:header="720" w:footer="720" w:gutter="0"/>
          <w:cols w:num="2" w:space="720"/>
        </w:sectPr>
      </w:pPr>
    </w:p>
    <w:p w:rsidR="009D31BD" w:rsidRDefault="00D63A80" w:rsidP="00CA42A6">
      <w:pPr>
        <w:pStyle w:val="Textoindependiente"/>
        <w:jc w:val="center"/>
        <w:rPr>
          <w:rFonts w:ascii="Times New Roman" w:hAnsi="Times New Roman"/>
          <w:sz w:val="22"/>
          <w:szCs w:val="22"/>
        </w:rPr>
      </w:pPr>
      <w:r>
        <w:rPr>
          <w:rFonts w:ascii="Times New Roman" w:hAnsi="Times New Roman"/>
          <w:noProof/>
          <w:sz w:val="22"/>
          <w:szCs w:val="22"/>
          <w:lang w:val="es-PE" w:eastAsia="es-PE"/>
        </w:rPr>
        <w:lastRenderedPageBreak/>
        <w:pict>
          <v:shape id="_x0000_s410056" type="#_x0000_t75" style="position:absolute;left:0;text-align:left;margin-left:49.2pt;margin-top:1.7pt;width:344.2pt;height:200.55pt;z-index:251808256">
            <v:imagedata r:id="rId145" o:title=""/>
            <w10:wrap type="square"/>
          </v:shape>
          <o:OLEObject Type="Embed" ProgID="Excel.Sheet.8" ShapeID="_x0000_s410056" DrawAspect="Content" ObjectID="_1423063409" r:id="rId146"/>
        </w:pict>
      </w: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pPr>
    </w:p>
    <w:p w:rsidR="000E5C2C" w:rsidRDefault="000E5C2C" w:rsidP="00CA42A6">
      <w:pPr>
        <w:pStyle w:val="Textoindependiente"/>
        <w:jc w:val="center"/>
        <w:rPr>
          <w:rFonts w:ascii="Times New Roman" w:hAnsi="Times New Roman"/>
          <w:sz w:val="22"/>
          <w:szCs w:val="22"/>
        </w:rPr>
        <w:sectPr w:rsidR="000E5C2C" w:rsidSect="009D31BD">
          <w:type w:val="continuous"/>
          <w:pgSz w:w="11907" w:h="16840"/>
          <w:pgMar w:top="1418" w:right="1701" w:bottom="1418" w:left="1701" w:header="720" w:footer="720" w:gutter="0"/>
          <w:cols w:space="720"/>
        </w:sectPr>
      </w:pPr>
    </w:p>
    <w:p w:rsidR="000E5C2C" w:rsidRDefault="000E5C2C" w:rsidP="000E5C2C">
      <w:pPr>
        <w:pStyle w:val="Textoindependiente"/>
        <w:rPr>
          <w:rFonts w:ascii="Times New Roman" w:hAnsi="Times New Roman"/>
          <w:sz w:val="22"/>
          <w:szCs w:val="22"/>
        </w:rPr>
        <w:sectPr w:rsidR="000E5C2C" w:rsidSect="00A26C6B">
          <w:headerReference w:type="default" r:id="rId147"/>
          <w:footerReference w:type="default" r:id="rId148"/>
          <w:type w:val="continuous"/>
          <w:pgSz w:w="12240" w:h="15840"/>
          <w:pgMar w:top="1417" w:right="1701" w:bottom="1417" w:left="1701" w:header="708" w:footer="708" w:gutter="0"/>
          <w:cols w:num="2" w:space="709"/>
          <w:docGrid w:linePitch="360"/>
        </w:sectPr>
      </w:pPr>
      <w:r>
        <w:rPr>
          <w:rFonts w:ascii="Times New Roman" w:hAnsi="Times New Roman"/>
          <w:sz w:val="22"/>
          <w:szCs w:val="22"/>
        </w:rPr>
        <w:lastRenderedPageBreak/>
        <w:t>L</w:t>
      </w:r>
      <w:r w:rsidRPr="009B1EA7">
        <w:rPr>
          <w:rFonts w:ascii="Times New Roman" w:hAnsi="Times New Roman"/>
          <w:sz w:val="22"/>
          <w:szCs w:val="22"/>
        </w:rPr>
        <w:t>a cartera pesada</w:t>
      </w:r>
      <w:r>
        <w:rPr>
          <w:rFonts w:ascii="Times New Roman" w:hAnsi="Times New Roman"/>
          <w:sz w:val="22"/>
          <w:szCs w:val="22"/>
        </w:rPr>
        <w:t xml:space="preserve"> s</w:t>
      </w:r>
      <w:r w:rsidRPr="008261B2">
        <w:rPr>
          <w:rFonts w:ascii="Times New Roman" w:hAnsi="Times New Roman"/>
          <w:sz w:val="22"/>
          <w:szCs w:val="22"/>
        </w:rPr>
        <w:t xml:space="preserve">e ubicó en </w:t>
      </w:r>
      <w:r w:rsidRPr="007706E4">
        <w:rPr>
          <w:rFonts w:ascii="Times New Roman" w:hAnsi="Times New Roman"/>
          <w:sz w:val="22"/>
          <w:szCs w:val="22"/>
        </w:rPr>
        <w:t xml:space="preserve">4,6 por ciento como porcentaje de las colocaciones brutas, </w:t>
      </w:r>
      <w:r w:rsidRPr="007706E4">
        <w:rPr>
          <w:rFonts w:ascii="Times New Roman" w:hAnsi="Times New Roman"/>
          <w:sz w:val="22"/>
          <w:szCs w:val="22"/>
        </w:rPr>
        <w:lastRenderedPageBreak/>
        <w:t>resultando mayor en 1,0 por</w:t>
      </w:r>
      <w:r>
        <w:rPr>
          <w:rFonts w:ascii="Times New Roman" w:hAnsi="Times New Roman"/>
          <w:sz w:val="22"/>
          <w:szCs w:val="22"/>
        </w:rPr>
        <w:t xml:space="preserve"> ciento a la morosidad de diciembre del año anterior.</w:t>
      </w:r>
    </w:p>
    <w:p w:rsidR="003217DC" w:rsidRDefault="003217DC" w:rsidP="00387758">
      <w:pPr>
        <w:pStyle w:val="Textoindependiente"/>
        <w:rPr>
          <w:rFonts w:ascii="Times New Roman" w:hAnsi="Times New Roman"/>
          <w:sz w:val="22"/>
          <w:szCs w:val="22"/>
        </w:rPr>
        <w:sectPr w:rsidR="003217DC" w:rsidSect="006F6758">
          <w:headerReference w:type="default" r:id="rId149"/>
          <w:footerReference w:type="default" r:id="rId150"/>
          <w:type w:val="continuous"/>
          <w:pgSz w:w="12240" w:h="15840"/>
          <w:pgMar w:top="1417" w:right="1701" w:bottom="1417" w:left="1701" w:header="708" w:footer="708" w:gutter="0"/>
          <w:cols w:num="2" w:space="709"/>
          <w:docGrid w:linePitch="360"/>
        </w:sectPr>
      </w:pPr>
    </w:p>
    <w:p w:rsidR="00A02526" w:rsidRDefault="009A7C2F" w:rsidP="000E5C2C">
      <w:pPr>
        <w:pStyle w:val="Piedepgina"/>
        <w:tabs>
          <w:tab w:val="clear" w:pos="4419"/>
          <w:tab w:val="clear" w:pos="8838"/>
        </w:tabs>
        <w:outlineLvl w:val="0"/>
        <w:rPr>
          <w:color w:val="FF0000"/>
          <w:sz w:val="22"/>
        </w:rPr>
        <w:sectPr w:rsidR="00A02526" w:rsidSect="00A02526">
          <w:headerReference w:type="default" r:id="rId151"/>
          <w:footerReference w:type="default" r:id="rId152"/>
          <w:type w:val="continuous"/>
          <w:pgSz w:w="12240" w:h="15840"/>
          <w:pgMar w:top="1417" w:right="1701" w:bottom="1417" w:left="1701" w:header="708" w:footer="708" w:gutter="0"/>
          <w:cols w:num="2" w:space="720"/>
          <w:docGrid w:linePitch="360"/>
        </w:sectPr>
      </w:pPr>
      <w:r>
        <w:rPr>
          <w:sz w:val="22"/>
          <w:szCs w:val="22"/>
        </w:rPr>
        <w:lastRenderedPageBreak/>
        <w:t xml:space="preserve"> </w:t>
      </w:r>
    </w:p>
    <w:p w:rsidR="00234A64" w:rsidRDefault="00122A01" w:rsidP="00C817CF">
      <w:pPr>
        <w:pStyle w:val="Textoindependiente"/>
        <w:ind w:left="1587"/>
        <w:rPr>
          <w:color w:val="FF0000"/>
          <w:sz w:val="22"/>
        </w:rPr>
        <w:sectPr w:rsidR="00234A64" w:rsidSect="00234A64">
          <w:type w:val="continuous"/>
          <w:pgSz w:w="12240" w:h="15840"/>
          <w:pgMar w:top="1417" w:right="1701" w:bottom="1417" w:left="1701" w:header="708" w:footer="708" w:gutter="0"/>
          <w:cols w:space="720"/>
          <w:docGrid w:linePitch="360"/>
        </w:sectPr>
      </w:pPr>
      <w:r>
        <w:object w:dxaOrig="5982" w:dyaOrig="4251">
          <v:shape id="_x0000_i1062" type="#_x0000_t75" style="width:285pt;height:202.5pt" o:ole="">
            <v:imagedata r:id="rId153" o:title=""/>
          </v:shape>
          <o:OLEObject Type="Embed" ProgID="Excel.Sheet.12" ShapeID="_x0000_i1062" DrawAspect="Content" ObjectID="_1423063399" r:id="rId154"/>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C25AF5">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0E5C2C" w:rsidRDefault="000E5C2C" w:rsidP="000E5C2C">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En diciembre, el </w:t>
      </w:r>
      <w:r w:rsidRPr="00C34F16">
        <w:rPr>
          <w:rFonts w:ascii="Times New Roman" w:hAnsi="Times New Roman"/>
          <w:sz w:val="22"/>
          <w:szCs w:val="24"/>
          <w:lang w:val="es-ES"/>
        </w:rPr>
        <w:t xml:space="preserve">crédito </w:t>
      </w:r>
      <w:r>
        <w:rPr>
          <w:rFonts w:ascii="Times New Roman" w:hAnsi="Times New Roman"/>
          <w:sz w:val="22"/>
          <w:szCs w:val="24"/>
          <w:lang w:val="es-ES"/>
        </w:rPr>
        <w:t>a este segmento empresarial b</w:t>
      </w:r>
      <w:r w:rsidRPr="00C34F16">
        <w:rPr>
          <w:rFonts w:ascii="Times New Roman" w:hAnsi="Times New Roman"/>
          <w:sz w:val="22"/>
          <w:szCs w:val="24"/>
          <w:lang w:val="es-ES"/>
        </w:rPr>
        <w:t>ordeó</w:t>
      </w:r>
      <w:r>
        <w:rPr>
          <w:rFonts w:ascii="Times New Roman" w:hAnsi="Times New Roman"/>
          <w:sz w:val="22"/>
          <w:szCs w:val="24"/>
          <w:lang w:val="es-ES"/>
        </w:rPr>
        <w:t xml:space="preserve"> los </w:t>
      </w:r>
      <w:r w:rsidRPr="00ED2B80">
        <w:rPr>
          <w:rFonts w:ascii="Times New Roman" w:hAnsi="Times New Roman"/>
          <w:sz w:val="22"/>
          <w:szCs w:val="24"/>
          <w:lang w:val="es-ES"/>
        </w:rPr>
        <w:t>S/.1 474,5 millones, resultando mayor en 3,7</w:t>
      </w:r>
      <w:r>
        <w:rPr>
          <w:rFonts w:ascii="Times New Roman" w:hAnsi="Times New Roman"/>
          <w:sz w:val="22"/>
          <w:szCs w:val="24"/>
          <w:lang w:val="es-ES"/>
        </w:rPr>
        <w:t xml:space="preserve"> por ciento al registrado en el mismo mes del 2011. </w:t>
      </w:r>
    </w:p>
    <w:p w:rsidR="000E5C2C" w:rsidRDefault="000E5C2C" w:rsidP="000E5C2C">
      <w:pPr>
        <w:pStyle w:val="Textoindependiente"/>
        <w:rPr>
          <w:rFonts w:ascii="Times New Roman" w:hAnsi="Times New Roman"/>
          <w:sz w:val="22"/>
          <w:szCs w:val="24"/>
          <w:lang w:val="es-ES"/>
        </w:rPr>
      </w:pPr>
    </w:p>
    <w:p w:rsidR="000E5C2C" w:rsidRDefault="000E5C2C" w:rsidP="000E5C2C">
      <w:pPr>
        <w:pStyle w:val="Textoindependiente"/>
        <w:rPr>
          <w:rFonts w:ascii="Times New Roman" w:hAnsi="Times New Roman"/>
          <w:sz w:val="22"/>
          <w:szCs w:val="24"/>
          <w:lang w:val="es-ES"/>
        </w:rPr>
      </w:pPr>
      <w:r>
        <w:rPr>
          <w:rFonts w:ascii="Times New Roman" w:hAnsi="Times New Roman"/>
          <w:sz w:val="22"/>
          <w:szCs w:val="24"/>
          <w:lang w:val="es-ES"/>
        </w:rPr>
        <w:lastRenderedPageBreak/>
        <w:t xml:space="preserve">Las cajas municipales mostraron la mayor participación en el crédito otorgado a esta clase de empresas, seguidas de cerca por las empresas bancarias. </w:t>
      </w:r>
    </w:p>
    <w:p w:rsidR="003217DC" w:rsidRDefault="003217DC" w:rsidP="0068371C">
      <w:pPr>
        <w:pStyle w:val="Textoindependiente"/>
        <w:rPr>
          <w:rFonts w:ascii="Times New Roman" w:hAnsi="Times New Roman"/>
          <w:sz w:val="22"/>
          <w:szCs w:val="24"/>
          <w:lang w:val="es-ES"/>
        </w:rPr>
        <w:sectPr w:rsidR="003217DC" w:rsidSect="00027A05">
          <w:type w:val="continuous"/>
          <w:pgSz w:w="12240" w:h="15840"/>
          <w:pgMar w:top="1417" w:right="1701" w:bottom="1417" w:left="1701" w:header="708" w:footer="708" w:gutter="0"/>
          <w:cols w:num="2" w:space="720"/>
          <w:docGrid w:linePitch="360"/>
        </w:sectPr>
      </w:pPr>
    </w:p>
    <w:p w:rsidR="00A02526" w:rsidRDefault="00F771D3"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DB0CE4" w:rsidP="00A02526">
      <w:pPr>
        <w:pStyle w:val="Textoindependiente"/>
        <w:jc w:val="center"/>
        <w:rPr>
          <w:color w:val="FF0000"/>
          <w:sz w:val="22"/>
        </w:rPr>
      </w:pPr>
      <w:r w:rsidRPr="00EB0090">
        <w:rPr>
          <w:rFonts w:ascii="Times New Roman" w:hAnsi="Times New Roman"/>
          <w:sz w:val="22"/>
          <w:szCs w:val="24"/>
          <w:lang w:val="es-ES"/>
        </w:rPr>
        <w:object w:dxaOrig="5818" w:dyaOrig="4187">
          <v:shape id="_x0000_i1065" type="#_x0000_t75" style="width:278.25pt;height:200.25pt" o:ole="">
            <v:imagedata r:id="rId155" o:title=""/>
          </v:shape>
          <o:OLEObject Type="Embed" ProgID="Excel.Sheet.8" ShapeID="_x0000_i1065" DrawAspect="Content" ObjectID="_1423063400" r:id="rId156"/>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A919AD" w:rsidRDefault="00A919AD">
      <w:pPr>
        <w:rPr>
          <w:color w:val="FF0000"/>
          <w:lang w:val="es-MX"/>
        </w:rPr>
      </w:pPr>
    </w:p>
    <w:p w:rsidR="00A919AD" w:rsidRDefault="00A919AD">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w:t>
      </w:r>
      <w:r w:rsidRPr="008C05B2">
        <w:rPr>
          <w:b/>
          <w:sz w:val="28"/>
          <w:szCs w:val="28"/>
          <w:lang w:val="es-MX"/>
        </w:rPr>
        <w:t>CI</w:t>
      </w:r>
      <w:r w:rsidRPr="00323202">
        <w:rPr>
          <w:b/>
          <w:sz w:val="28"/>
          <w:szCs w:val="28"/>
          <w:lang w:val="es-MX"/>
        </w:rPr>
        <w:t>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57"/>
          <w:footerReference w:type="default" r:id="rId158"/>
          <w:pgSz w:w="12240" w:h="15840"/>
          <w:pgMar w:top="1417" w:right="1701" w:bottom="1417" w:left="1701" w:header="708" w:footer="708" w:gutter="0"/>
          <w:cols w:space="708"/>
          <w:vAlign w:val="both"/>
          <w:docGrid w:linePitch="360"/>
        </w:sectPr>
      </w:pPr>
    </w:p>
    <w:p w:rsidR="002873D0" w:rsidRDefault="00D63A80" w:rsidP="00C2611B">
      <w:pPr>
        <w:rPr>
          <w:noProof/>
          <w:lang w:val="es-PE" w:eastAsia="es-PE"/>
        </w:rPr>
      </w:pPr>
      <w:r>
        <w:rPr>
          <w:noProof/>
          <w:lang w:val="es-PE" w:eastAsia="es-PE"/>
        </w:rPr>
        <w:lastRenderedPageBreak/>
        <w:pict>
          <v:shape id="_x0000_s1164" type="#_x0000_t202" style="position:absolute;left:0;text-align:left;margin-left:-3.8pt;margin-top:-35.45pt;width:66.45pt;height:18.05pt;z-index:251657728;mso-width-relative:margin;mso-height-relative:margin" stroked="f">
            <v:textbox style="mso-next-textbox:#_x0000_s1164">
              <w:txbxContent>
                <w:p w:rsidR="00F2504B" w:rsidRDefault="00F2504B">
                  <w:pPr>
                    <w:rPr>
                      <w:b/>
                      <w:sz w:val="20"/>
                      <w:szCs w:val="20"/>
                    </w:rPr>
                  </w:pPr>
                  <w:r w:rsidRPr="00E96B86">
                    <w:rPr>
                      <w:b/>
                      <w:sz w:val="20"/>
                      <w:szCs w:val="20"/>
                    </w:rPr>
                    <w:t>ANEXO 1</w:t>
                  </w:r>
                </w:p>
              </w:txbxContent>
            </v:textbox>
          </v:shape>
        </w:pict>
      </w:r>
      <w:r w:rsidR="00B609AB" w:rsidRPr="00B609AB">
        <w:rPr>
          <w:noProof/>
          <w:lang w:val="es-PE" w:eastAsia="es-PE"/>
        </w:rPr>
        <w:drawing>
          <wp:inline distT="0" distB="0" distL="0" distR="0">
            <wp:extent cx="8258175" cy="5856977"/>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9" cstate="print"/>
                    <a:srcRect/>
                    <a:stretch>
                      <a:fillRect/>
                    </a:stretch>
                  </pic:blipFill>
                  <pic:spPr bwMode="auto">
                    <a:xfrm>
                      <a:off x="0" y="0"/>
                      <a:ext cx="8257540" cy="5856527"/>
                    </a:xfrm>
                    <a:prstGeom prst="rect">
                      <a:avLst/>
                    </a:prstGeom>
                    <a:noFill/>
                    <a:ln w="9525">
                      <a:noFill/>
                      <a:miter lim="800000"/>
                      <a:headEnd/>
                      <a:tailEnd/>
                    </a:ln>
                  </pic:spPr>
                </pic:pic>
              </a:graphicData>
            </a:graphic>
          </wp:inline>
        </w:drawing>
      </w:r>
    </w:p>
    <w:p w:rsidR="006718B5" w:rsidRDefault="00D63A80" w:rsidP="004A2EEB">
      <w:pPr>
        <w:rPr>
          <w:noProof/>
          <w:lang w:val="es-PE" w:eastAsia="es-PE"/>
        </w:rPr>
      </w:pPr>
      <w:r w:rsidRPr="00D63A80">
        <w:rPr>
          <w:noProof/>
          <w:color w:val="FF0000"/>
          <w:lang w:val="es-PE" w:eastAsia="es-PE"/>
        </w:rPr>
        <w:lastRenderedPageBreak/>
        <w:pict>
          <v:shape id="_x0000_s1152" type="#_x0000_t202" style="position:absolute;left:0;text-align:left;margin-left:1.45pt;margin-top:1.7pt;width:66.45pt;height:24.2pt;z-index:251645440;mso-width-relative:margin;mso-height-relative:margin" stroked="f">
            <v:textbox style="mso-next-textbox:#_x0000_s1152">
              <w:txbxContent>
                <w:p w:rsidR="00F2504B" w:rsidRPr="001B5371" w:rsidRDefault="00F2504B">
                  <w:pPr>
                    <w:rPr>
                      <w:b/>
                      <w:sz w:val="20"/>
                      <w:szCs w:val="20"/>
                    </w:rPr>
                  </w:pPr>
                  <w:r w:rsidRPr="00EB566D">
                    <w:rPr>
                      <w:b/>
                      <w:sz w:val="20"/>
                      <w:szCs w:val="20"/>
                    </w:rPr>
                    <w:t>ANEXO 2</w:t>
                  </w:r>
                </w:p>
              </w:txbxContent>
            </v:textbox>
          </v:shape>
        </w:pict>
      </w:r>
    </w:p>
    <w:p w:rsidR="00852557" w:rsidRDefault="00852557">
      <w:pPr>
        <w:rPr>
          <w:color w:val="FF0000"/>
        </w:rPr>
      </w:pPr>
    </w:p>
    <w:p w:rsidR="00852557" w:rsidRDefault="00852557">
      <w:pPr>
        <w:rPr>
          <w:color w:val="FF0000"/>
        </w:rPr>
      </w:pPr>
    </w:p>
    <w:p w:rsidR="009E1A9A" w:rsidRDefault="009E1A9A">
      <w:pPr>
        <w:rPr>
          <w:color w:val="FF0000"/>
        </w:rPr>
      </w:pPr>
    </w:p>
    <w:p w:rsidR="00852557" w:rsidRDefault="003F1918" w:rsidP="001717EB">
      <w:pPr>
        <w:ind w:left="-113"/>
        <w:jc w:val="center"/>
        <w:rPr>
          <w:color w:val="FF0000"/>
        </w:rPr>
      </w:pPr>
      <w:r w:rsidRPr="003F1918">
        <w:drawing>
          <wp:inline distT="0" distB="0" distL="0" distR="0">
            <wp:extent cx="8257540" cy="3383488"/>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0" cstate="print"/>
                    <a:srcRect/>
                    <a:stretch>
                      <a:fillRect/>
                    </a:stretch>
                  </pic:blipFill>
                  <pic:spPr bwMode="auto">
                    <a:xfrm>
                      <a:off x="0" y="0"/>
                      <a:ext cx="8257540" cy="3383488"/>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DF04C3" w:rsidRDefault="00DF04C3">
      <w:pPr>
        <w:rPr>
          <w:color w:val="FF0000"/>
        </w:rPr>
      </w:pPr>
    </w:p>
    <w:p w:rsidR="00DF04C3" w:rsidRDefault="00D63A80">
      <w:pPr>
        <w:rPr>
          <w:color w:val="FF0000"/>
        </w:rPr>
      </w:pPr>
      <w:r>
        <w:rPr>
          <w:noProof/>
          <w:color w:val="FF0000"/>
          <w:lang w:val="es-PE" w:eastAsia="es-PE"/>
        </w:rPr>
        <w:lastRenderedPageBreak/>
        <w:pict>
          <v:shape id="_x0000_s1153" type="#_x0000_t202" style="position:absolute;left:0;text-align:left;margin-left:-11.65pt;margin-top:12.35pt;width:84.05pt;height:19.45pt;z-index:251646464;mso-width-relative:margin;mso-height-relative:margin" stroked="f">
            <v:textbox style="mso-next-textbox:#_x0000_s1153">
              <w:txbxContent>
                <w:p w:rsidR="00F2504B" w:rsidRPr="00050260" w:rsidRDefault="00F2504B">
                  <w:pPr>
                    <w:rPr>
                      <w:b/>
                      <w:sz w:val="20"/>
                      <w:szCs w:val="20"/>
                    </w:rPr>
                  </w:pPr>
                  <w:r w:rsidRPr="00EB566D">
                    <w:rPr>
                      <w:b/>
                      <w:sz w:val="20"/>
                      <w:szCs w:val="20"/>
                    </w:rPr>
                    <w:t>ANEXO 3</w:t>
                  </w:r>
                </w:p>
              </w:txbxContent>
            </v:textbox>
          </v:shape>
        </w:pict>
      </w:r>
    </w:p>
    <w:p w:rsidR="009E1A9A" w:rsidRDefault="009E1A9A">
      <w:pPr>
        <w:rPr>
          <w:color w:val="FF0000"/>
        </w:rPr>
      </w:pPr>
    </w:p>
    <w:p w:rsidR="00EB566D" w:rsidRDefault="007B68CB" w:rsidP="00111C7A">
      <w:pPr>
        <w:ind w:left="-170"/>
        <w:rPr>
          <w:color w:val="FF0000"/>
        </w:rPr>
      </w:pPr>
      <w:r w:rsidRPr="007B68CB">
        <w:rPr>
          <w:color w:val="FF0000"/>
        </w:rPr>
        <w:t xml:space="preserve"> </w:t>
      </w:r>
    </w:p>
    <w:p w:rsidR="00EB566D" w:rsidRDefault="00EB566D" w:rsidP="00111C7A">
      <w:pPr>
        <w:ind w:left="-170"/>
        <w:rPr>
          <w:color w:val="FF0000"/>
        </w:rPr>
      </w:pPr>
    </w:p>
    <w:p w:rsidR="000803B1" w:rsidRDefault="00EB566D" w:rsidP="00111C7A">
      <w:pPr>
        <w:ind w:left="-170"/>
        <w:rPr>
          <w:color w:val="FF0000"/>
        </w:rPr>
      </w:pPr>
      <w:r w:rsidRPr="00EB566D">
        <w:rPr>
          <w:noProof/>
          <w:lang w:val="es-PE" w:eastAsia="es-PE"/>
        </w:rPr>
        <w:drawing>
          <wp:inline distT="0" distB="0" distL="0" distR="0">
            <wp:extent cx="8257540" cy="4307936"/>
            <wp:effectExtent l="1905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1" cstate="print"/>
                    <a:srcRect/>
                    <a:stretch>
                      <a:fillRect/>
                    </a:stretch>
                  </pic:blipFill>
                  <pic:spPr bwMode="auto">
                    <a:xfrm>
                      <a:off x="0" y="0"/>
                      <a:ext cx="8257540" cy="4307936"/>
                    </a:xfrm>
                    <a:prstGeom prst="rect">
                      <a:avLst/>
                    </a:prstGeom>
                    <a:noFill/>
                    <a:ln w="9525">
                      <a:noFill/>
                      <a:miter lim="800000"/>
                      <a:headEnd/>
                      <a:tailEnd/>
                    </a:ln>
                  </pic:spPr>
                </pic:pic>
              </a:graphicData>
            </a:graphic>
          </wp:inline>
        </w:drawing>
      </w: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EB566D" w:rsidRDefault="00EB566D" w:rsidP="00111C7A">
      <w:pPr>
        <w:ind w:left="-170"/>
        <w:rPr>
          <w:color w:val="FF0000"/>
        </w:rPr>
      </w:pPr>
    </w:p>
    <w:p w:rsidR="00852557" w:rsidRDefault="008E25BC">
      <w:pPr>
        <w:rPr>
          <w:color w:val="FF0000"/>
          <w:lang w:val="es-MX"/>
        </w:rPr>
      </w:pPr>
      <w:r>
        <w:rPr>
          <w:color w:val="FF0000"/>
          <w:lang w:val="es-MX"/>
        </w:rPr>
        <w:t xml:space="preserve"> </w:t>
      </w:r>
    </w:p>
    <w:p w:rsidR="00852557" w:rsidRDefault="00852557" w:rsidP="00F206D5">
      <w:pPr>
        <w:jc w:val="center"/>
        <w:rPr>
          <w:color w:val="FF0000"/>
        </w:rPr>
        <w:sectPr w:rsidR="00852557">
          <w:headerReference w:type="default" r:id="rId162"/>
          <w:footerReference w:type="default" r:id="rId163"/>
          <w:type w:val="continuous"/>
          <w:pgSz w:w="15840" w:h="12240" w:orient="landscape"/>
          <w:pgMar w:top="1701" w:right="1418" w:bottom="1701" w:left="1418" w:header="709" w:footer="709" w:gutter="0"/>
          <w:cols w:space="708"/>
          <w:vAlign w:val="both"/>
          <w:docGrid w:linePitch="360"/>
        </w:sectPr>
      </w:pPr>
    </w:p>
    <w:p w:rsidR="004D4FA2" w:rsidRDefault="004D4FA2">
      <w:pPr>
        <w:rPr>
          <w:color w:val="FF0000"/>
          <w:lang w:val="es-MX"/>
        </w:rPr>
      </w:pPr>
    </w:p>
    <w:p w:rsidR="00852557" w:rsidRDefault="00D63A80">
      <w:pPr>
        <w:rPr>
          <w:color w:val="FF0000"/>
        </w:rPr>
      </w:pPr>
      <w:r w:rsidRPr="00D63A80">
        <w:rPr>
          <w:noProof/>
          <w:lang w:val="es-PE" w:eastAsia="es-PE"/>
        </w:rPr>
        <w:pict>
          <v:shape id="_x0000_s1165" type="#_x0000_t202" style="position:absolute;left:0;text-align:left;margin-left:-.35pt;margin-top:-18.95pt;width:84.05pt;height:16.9pt;z-index:251658752;mso-width-relative:margin;mso-height-relative:margin" stroked="f">
            <v:textbox style="mso-next-textbox:#_x0000_s1165">
              <w:txbxContent>
                <w:p w:rsidR="00F2504B" w:rsidRDefault="00F2504B">
                  <w:pPr>
                    <w:rPr>
                      <w:b/>
                      <w:sz w:val="20"/>
                      <w:szCs w:val="20"/>
                    </w:rPr>
                  </w:pPr>
                  <w:r w:rsidRPr="00EB566D">
                    <w:rPr>
                      <w:b/>
                      <w:sz w:val="20"/>
                      <w:szCs w:val="20"/>
                    </w:rPr>
                    <w:t>ANEXO 4</w:t>
                  </w:r>
                </w:p>
              </w:txbxContent>
            </v:textbox>
          </v:shape>
        </w:pict>
      </w: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3F1918">
      <w:pPr>
        <w:jc w:val="center"/>
      </w:pPr>
      <w:r w:rsidRPr="003F1918">
        <w:lastRenderedPageBreak/>
        <w:drawing>
          <wp:inline distT="0" distB="0" distL="0" distR="0">
            <wp:extent cx="8257540" cy="4245308"/>
            <wp:effectExtent l="1905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4" cstate="print"/>
                    <a:srcRect/>
                    <a:stretch>
                      <a:fillRect/>
                    </a:stretch>
                  </pic:blipFill>
                  <pic:spPr bwMode="auto">
                    <a:xfrm>
                      <a:off x="0" y="0"/>
                      <a:ext cx="8257540" cy="4245308"/>
                    </a:xfrm>
                    <a:prstGeom prst="rect">
                      <a:avLst/>
                    </a:prstGeom>
                    <a:noFill/>
                    <a:ln w="9525">
                      <a:noFill/>
                      <a:miter lim="800000"/>
                      <a:headEnd/>
                      <a:tailEnd/>
                    </a:ln>
                  </pic:spPr>
                </pic:pic>
              </a:graphicData>
            </a:graphic>
          </wp:inline>
        </w:drawing>
      </w:r>
    </w:p>
    <w:p w:rsidR="003F1918" w:rsidRDefault="003F1918">
      <w:pPr>
        <w:jc w:val="center"/>
      </w:pPr>
    </w:p>
    <w:p w:rsidR="003F1918" w:rsidRDefault="003F1918">
      <w:pPr>
        <w:jc w:val="center"/>
      </w:pPr>
    </w:p>
    <w:p w:rsidR="0066182D" w:rsidRDefault="00D63A80">
      <w:pPr>
        <w:jc w:val="center"/>
      </w:pPr>
      <w:r w:rsidRPr="00D63A80">
        <w:rPr>
          <w:noProof/>
          <w:color w:val="FF0000"/>
          <w:lang w:val="es-PE" w:eastAsia="es-PE"/>
        </w:rPr>
        <w:lastRenderedPageBreak/>
        <w:pict>
          <v:shape id="_x0000_s1154" type="#_x0000_t202" style="position:absolute;left:0;text-align:left;margin-left:2.7pt;margin-top:4.25pt;width:84.05pt;height:32.6pt;z-index:251647488;mso-width-relative:margin;mso-height-relative:margin" stroked="f">
            <v:textbox style="mso-next-textbox:#_x0000_s1154">
              <w:txbxContent>
                <w:p w:rsidR="00F2504B" w:rsidRPr="007B3C9E" w:rsidRDefault="00F2504B">
                  <w:pPr>
                    <w:rPr>
                      <w:b/>
                      <w:sz w:val="20"/>
                      <w:szCs w:val="20"/>
                      <w:lang w:val="es-PE"/>
                    </w:rPr>
                  </w:pPr>
                </w:p>
                <w:p w:rsidR="00F2504B" w:rsidRPr="00323202" w:rsidRDefault="00F2504B">
                  <w:pPr>
                    <w:rPr>
                      <w:b/>
                      <w:sz w:val="20"/>
                      <w:szCs w:val="20"/>
                      <w:lang w:val="es-PE"/>
                    </w:rPr>
                  </w:pPr>
                  <w:r w:rsidRPr="00EB566D">
                    <w:rPr>
                      <w:b/>
                      <w:sz w:val="20"/>
                      <w:szCs w:val="20"/>
                      <w:lang w:val="es-PE"/>
                    </w:rPr>
                    <w:t>ANEXO 5</w:t>
                  </w:r>
                </w:p>
              </w:txbxContent>
            </v:textbox>
          </v:shape>
        </w:pict>
      </w:r>
    </w:p>
    <w:p w:rsidR="00111C7A" w:rsidRDefault="00111C7A">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8D7256" w:rsidRDefault="008D7256">
      <w:pPr>
        <w:rPr>
          <w:color w:val="FF0000"/>
        </w:rPr>
      </w:pPr>
    </w:p>
    <w:p w:rsidR="0008391D" w:rsidRDefault="003F1918">
      <w:pPr>
        <w:rPr>
          <w:color w:val="FF0000"/>
        </w:rPr>
      </w:pPr>
      <w:r w:rsidRPr="003F1918">
        <w:drawing>
          <wp:inline distT="0" distB="0" distL="0" distR="0">
            <wp:extent cx="8257540" cy="4381037"/>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5" cstate="print"/>
                    <a:srcRect/>
                    <a:stretch>
                      <a:fillRect/>
                    </a:stretch>
                  </pic:blipFill>
                  <pic:spPr bwMode="auto">
                    <a:xfrm>
                      <a:off x="0" y="0"/>
                      <a:ext cx="8257540" cy="4381037"/>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8E49D7">
        <w:rPr>
          <w:color w:val="FF0000"/>
          <w:lang w:val="es-MX"/>
        </w:rPr>
        <w:lastRenderedPageBreak/>
        <w:t xml:space="preserve">                                          </w:t>
      </w:r>
    </w:p>
    <w:p w:rsidR="00323202" w:rsidRDefault="00323202" w:rsidP="00323202">
      <w:pPr>
        <w:rPr>
          <w:b/>
          <w:sz w:val="20"/>
          <w:szCs w:val="20"/>
        </w:rPr>
      </w:pPr>
    </w:p>
    <w:p w:rsidR="000D3447" w:rsidRDefault="00D63A80" w:rsidP="00735C2D">
      <w:pPr>
        <w:jc w:val="center"/>
        <w:rPr>
          <w:b/>
          <w:sz w:val="20"/>
          <w:szCs w:val="20"/>
        </w:rPr>
      </w:pPr>
      <w:r w:rsidRPr="00D63A80">
        <w:rPr>
          <w:noProof/>
          <w:color w:val="FF0000"/>
          <w:highlight w:val="yellow"/>
          <w:lang w:val="es-PE" w:eastAsia="es-PE"/>
        </w:rPr>
        <w:pict>
          <v:shape id="_x0000_s1155" type="#_x0000_t202" style="position:absolute;left:0;text-align:left;margin-left:-9.1pt;margin-top:.8pt;width:102.45pt;height:23pt;z-index:251648512;mso-width-relative:margin;mso-height-relative:margin" stroked="f">
            <v:textbox style="mso-next-textbox:#_x0000_s1155">
              <w:txbxContent>
                <w:p w:rsidR="00F2504B" w:rsidRPr="009E1A9A" w:rsidRDefault="00F2504B" w:rsidP="002F36A7">
                  <w:pPr>
                    <w:ind w:firstLine="708"/>
                    <w:rPr>
                      <w:color w:val="FF0000"/>
                      <w:lang w:val="es-MX"/>
                    </w:rPr>
                  </w:pPr>
                  <w:r w:rsidRPr="00EB566D">
                    <w:rPr>
                      <w:b/>
                      <w:sz w:val="20"/>
                      <w:szCs w:val="20"/>
                    </w:rPr>
                    <w:t>ANEXO 6</w:t>
                  </w:r>
                </w:p>
                <w:p w:rsidR="00F2504B" w:rsidRPr="00870851" w:rsidRDefault="00F2504B" w:rsidP="00870851">
                  <w:pPr>
                    <w:rPr>
                      <w:szCs w:val="20"/>
                    </w:rPr>
                  </w:pPr>
                </w:p>
              </w:txbxContent>
            </v:textbox>
          </v:shape>
        </w:pict>
      </w:r>
    </w:p>
    <w:p w:rsidR="00EB566D" w:rsidRDefault="00735C2D">
      <w:pPr>
        <w:rPr>
          <w:b/>
          <w:color w:val="FF000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p>
    <w:p w:rsidR="00EB566D" w:rsidRDefault="00EB566D">
      <w:pPr>
        <w:rPr>
          <w:b/>
          <w:color w:val="FF0000"/>
          <w:lang w:val="es-MX"/>
        </w:rPr>
      </w:pPr>
    </w:p>
    <w:p w:rsidR="00EB566D" w:rsidRDefault="00EB566D">
      <w:pPr>
        <w:rPr>
          <w:b/>
          <w:color w:val="FF0000"/>
          <w:lang w:val="es-MX"/>
        </w:rPr>
      </w:pPr>
    </w:p>
    <w:p w:rsidR="00852557" w:rsidRPr="00031C43" w:rsidRDefault="0034202B">
      <w:pPr>
        <w:rPr>
          <w:b/>
          <w:sz w:val="20"/>
          <w:szCs w:val="20"/>
          <w:lang w:val="es-MX"/>
        </w:rPr>
      </w:pPr>
      <w:r>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EB566D">
      <w:pPr>
        <w:jc w:val="center"/>
      </w:pPr>
      <w:r w:rsidRPr="00EB566D">
        <w:rPr>
          <w:noProof/>
          <w:lang w:val="es-PE" w:eastAsia="es-PE"/>
        </w:rPr>
        <w:drawing>
          <wp:inline distT="0" distB="0" distL="0" distR="0">
            <wp:extent cx="3800475" cy="3095625"/>
            <wp:effectExtent l="19050" t="0" r="952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6" cstate="print"/>
                    <a:srcRect/>
                    <a:stretch>
                      <a:fillRect/>
                    </a:stretch>
                  </pic:blipFill>
                  <pic:spPr bwMode="auto">
                    <a:xfrm>
                      <a:off x="0" y="0"/>
                      <a:ext cx="3800475" cy="3095625"/>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C10E5E" w:rsidRDefault="00C10E5E" w:rsidP="009A403A"/>
    <w:p w:rsidR="002F1688" w:rsidRDefault="002F1688" w:rsidP="009A403A"/>
    <w:p w:rsidR="002F1688" w:rsidRDefault="002F1688" w:rsidP="009A403A"/>
    <w:p w:rsidR="009A403A" w:rsidRDefault="009A403A" w:rsidP="009A403A"/>
    <w:p w:rsidR="00C10E5E" w:rsidRDefault="00D63A80">
      <w:pPr>
        <w:jc w:val="center"/>
      </w:pPr>
      <w:r w:rsidRPr="00D63A80">
        <w:rPr>
          <w:noProof/>
          <w:color w:val="FF0000"/>
          <w:lang w:val="es-PE" w:eastAsia="es-PE"/>
        </w:rPr>
        <w:pict>
          <v:shape id="_x0000_s1157" type="#_x0000_t202" style="position:absolute;left:0;text-align:left;margin-left:-.9pt;margin-top:6.25pt;width:60.4pt;height:25.55pt;z-index:251650560;mso-width-relative:margin;mso-height-relative:margin" stroked="f">
            <v:textbox style="mso-next-textbox:#_x0000_s1157">
              <w:txbxContent>
                <w:p w:rsidR="00F2504B" w:rsidRDefault="00F2504B">
                  <w:pPr>
                    <w:rPr>
                      <w:b/>
                      <w:sz w:val="20"/>
                      <w:szCs w:val="16"/>
                    </w:rPr>
                  </w:pPr>
                  <w:r w:rsidRPr="001634BF">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B609AB"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B609AB">
        <w:rPr>
          <w:noProof/>
          <w:lang w:val="es-PE" w:eastAsia="es-PE"/>
        </w:rPr>
        <w:drawing>
          <wp:inline distT="0" distB="0" distL="0" distR="0">
            <wp:extent cx="8257540" cy="4370264"/>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7" cstate="print"/>
                    <a:srcRect/>
                    <a:stretch>
                      <a:fillRect/>
                    </a:stretch>
                  </pic:blipFill>
                  <pic:spPr bwMode="auto">
                    <a:xfrm>
                      <a:off x="0" y="0"/>
                      <a:ext cx="8257540" cy="4370264"/>
                    </a:xfrm>
                    <a:prstGeom prst="rect">
                      <a:avLst/>
                    </a:prstGeom>
                    <a:noFill/>
                    <a:ln w="9525">
                      <a:noFill/>
                      <a:miter lim="800000"/>
                      <a:headEnd/>
                      <a:tailEnd/>
                    </a:ln>
                  </pic:spPr>
                </pic:pic>
              </a:graphicData>
            </a:graphic>
          </wp:inline>
        </w:drawing>
      </w:r>
    </w:p>
    <w:p w:rsidR="00E075D4" w:rsidRDefault="00E075D4">
      <w:pPr>
        <w:jc w:val="center"/>
        <w:rPr>
          <w:color w:val="FF0000"/>
        </w:rPr>
      </w:pPr>
    </w:p>
    <w:p w:rsidR="00852557" w:rsidRDefault="00D63A80" w:rsidP="00111C7A">
      <w:pPr>
        <w:ind w:right="-57"/>
        <w:sectPr w:rsidR="00852557">
          <w:type w:val="continuous"/>
          <w:pgSz w:w="15840" w:h="12240" w:orient="landscape"/>
          <w:pgMar w:top="1701" w:right="1418" w:bottom="1701" w:left="1418" w:header="709" w:footer="709" w:gutter="0"/>
          <w:cols w:space="708"/>
          <w:vAlign w:val="both"/>
          <w:docGrid w:linePitch="360"/>
        </w:sectPr>
      </w:pPr>
      <w:r w:rsidRPr="00D63A80">
        <w:rPr>
          <w:noProof/>
          <w:color w:val="FF0000"/>
          <w:lang w:val="es-PE" w:eastAsia="es-PE"/>
        </w:rPr>
        <w:lastRenderedPageBreak/>
        <w:pict>
          <v:shape id="_x0000_s1158" type="#_x0000_t202" style="position:absolute;left:0;text-align:left;margin-left:.85pt;margin-top:-12.2pt;width:65.85pt;height:16.1pt;z-index:251651584;mso-width-relative:margin;mso-height-relative:margin" stroked="f">
            <v:textbox style="mso-next-textbox:#_x0000_s1158">
              <w:txbxContent>
                <w:p w:rsidR="00F2504B" w:rsidRDefault="00F2504B">
                  <w:pPr>
                    <w:rPr>
                      <w:b/>
                      <w:sz w:val="20"/>
                      <w:szCs w:val="20"/>
                    </w:rPr>
                  </w:pPr>
                  <w:r w:rsidRPr="00016F5C">
                    <w:rPr>
                      <w:b/>
                      <w:sz w:val="20"/>
                      <w:szCs w:val="20"/>
                    </w:rPr>
                    <w:t>ANEXO 8</w:t>
                  </w:r>
                </w:p>
              </w:txbxContent>
            </v:textbox>
          </v:shape>
        </w:pict>
      </w:r>
      <w:r w:rsidR="00034490" w:rsidRPr="00034490">
        <w:rPr>
          <w:color w:val="FF0000"/>
          <w:lang w:val="es-MX"/>
        </w:rPr>
        <w:t xml:space="preserve"> </w:t>
      </w:r>
      <w:r w:rsidR="00B609AB" w:rsidRPr="00B609AB">
        <w:rPr>
          <w:noProof/>
          <w:lang w:val="es-PE" w:eastAsia="es-PE"/>
        </w:rPr>
        <w:drawing>
          <wp:inline distT="0" distB="0" distL="0" distR="0">
            <wp:extent cx="8250953" cy="5267325"/>
            <wp:effectExtent l="19050" t="0" r="0" b="0"/>
            <wp:docPr id="2"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8" cstate="print"/>
                    <a:srcRect/>
                    <a:stretch>
                      <a:fillRect/>
                    </a:stretch>
                  </pic:blipFill>
                  <pic:spPr bwMode="auto">
                    <a:xfrm>
                      <a:off x="0" y="0"/>
                      <a:ext cx="8257540" cy="5271530"/>
                    </a:xfrm>
                    <a:prstGeom prst="rect">
                      <a:avLst/>
                    </a:prstGeom>
                    <a:noFill/>
                    <a:ln w="9525">
                      <a:noFill/>
                      <a:miter lim="800000"/>
                      <a:headEnd/>
                      <a:tailEnd/>
                    </a:ln>
                  </pic:spPr>
                </pic:pic>
              </a:graphicData>
            </a:graphic>
          </wp:inline>
        </w:drawing>
      </w:r>
    </w:p>
    <w:p w:rsidR="00852557" w:rsidRDefault="00B609AB" w:rsidP="00897804">
      <w:pPr>
        <w:jc w:val="center"/>
      </w:pPr>
      <w:r w:rsidRPr="00B609AB">
        <w:rPr>
          <w:noProof/>
          <w:lang w:val="es-PE" w:eastAsia="es-PE"/>
        </w:rPr>
        <w:lastRenderedPageBreak/>
        <w:drawing>
          <wp:inline distT="0" distB="0" distL="0" distR="0">
            <wp:extent cx="8257812" cy="6477000"/>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9" cstate="print"/>
                    <a:srcRect/>
                    <a:stretch>
                      <a:fillRect/>
                    </a:stretch>
                  </pic:blipFill>
                  <pic:spPr bwMode="auto">
                    <a:xfrm>
                      <a:off x="0" y="0"/>
                      <a:ext cx="8257540" cy="6476786"/>
                    </a:xfrm>
                    <a:prstGeom prst="rect">
                      <a:avLst/>
                    </a:prstGeom>
                    <a:noFill/>
                    <a:ln w="9525">
                      <a:noFill/>
                      <a:miter lim="800000"/>
                      <a:headEnd/>
                      <a:tailEnd/>
                    </a:ln>
                  </pic:spPr>
                </pic:pic>
              </a:graphicData>
            </a:graphic>
          </wp:inline>
        </w:drawing>
      </w:r>
      <w:r w:rsidR="00D63A80">
        <w:rPr>
          <w:noProof/>
          <w:lang w:val="es-PE" w:eastAsia="es-PE"/>
        </w:rPr>
        <w:pict>
          <v:shape id="_x0000_s1167" type="#_x0000_t202" style="position:absolute;left:0;text-align:left;margin-left:-.4pt;margin-top:-26.5pt;width:69.5pt;height:21.95pt;z-index:251660800;mso-position-horizontal-relative:text;mso-position-vertical-relative:text;mso-width-relative:margin;mso-height-relative:margin" stroked="f">
            <v:textbox style="mso-next-textbox:#_x0000_s1167">
              <w:txbxContent>
                <w:p w:rsidR="00F2504B" w:rsidRDefault="00F2504B">
                  <w:pPr>
                    <w:rPr>
                      <w:b/>
                      <w:sz w:val="20"/>
                      <w:szCs w:val="16"/>
                    </w:rPr>
                  </w:pPr>
                  <w:r w:rsidRPr="00016F5C">
                    <w:rPr>
                      <w:b/>
                      <w:sz w:val="20"/>
                      <w:szCs w:val="16"/>
                    </w:rPr>
                    <w:t>ANEXO 9</w:t>
                  </w:r>
                  <w:r>
                    <w:rPr>
                      <w:b/>
                      <w:sz w:val="20"/>
                      <w:szCs w:val="16"/>
                    </w:rPr>
                    <w:t xml:space="preserve">                                              </w:t>
                  </w:r>
                </w:p>
                <w:p w:rsidR="00F2504B" w:rsidRDefault="00F2504B">
                  <w:pPr>
                    <w:rPr>
                      <w:b/>
                      <w:szCs w:val="20"/>
                    </w:rPr>
                  </w:pPr>
                </w:p>
                <w:p w:rsidR="00F2504B" w:rsidRDefault="00F2504B">
                  <w:pPr>
                    <w:rPr>
                      <w:b/>
                      <w:szCs w:val="20"/>
                    </w:rPr>
                  </w:pPr>
                </w:p>
              </w:txbxContent>
            </v:textbox>
          </v:shape>
        </w:pict>
      </w:r>
    </w:p>
    <w:p w:rsidR="00B47F81" w:rsidRDefault="00B47F81" w:rsidP="004E43C2">
      <w:pPr>
        <w:ind w:left="-57"/>
        <w:jc w:val="left"/>
        <w:rPr>
          <w:noProof/>
          <w:lang w:val="es-PE" w:eastAsia="es-PE"/>
        </w:rPr>
      </w:pPr>
      <w:r>
        <w:rPr>
          <w:noProof/>
          <w:lang w:val="es-PE" w:eastAsia="es-PE"/>
        </w:rPr>
        <w:lastRenderedPageBreak/>
        <w:drawing>
          <wp:anchor distT="0" distB="0" distL="114300" distR="114300" simplePos="0" relativeHeight="251815424" behindDoc="0" locked="0" layoutInCell="1" allowOverlap="1">
            <wp:simplePos x="0" y="0"/>
            <wp:positionH relativeFrom="column">
              <wp:posOffset>23495</wp:posOffset>
            </wp:positionH>
            <wp:positionV relativeFrom="paragraph">
              <wp:posOffset>-165100</wp:posOffset>
            </wp:positionV>
            <wp:extent cx="8391525" cy="6591300"/>
            <wp:effectExtent l="19050" t="0" r="9525" b="0"/>
            <wp:wrapNone/>
            <wp:docPr id="3"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0" cstate="print"/>
                    <a:srcRect/>
                    <a:stretch>
                      <a:fillRect/>
                    </a:stretch>
                  </pic:blipFill>
                  <pic:spPr bwMode="auto">
                    <a:xfrm>
                      <a:off x="0" y="0"/>
                      <a:ext cx="8391525" cy="6591300"/>
                    </a:xfrm>
                    <a:prstGeom prst="rect">
                      <a:avLst/>
                    </a:prstGeom>
                    <a:noFill/>
                    <a:ln w="9525">
                      <a:noFill/>
                      <a:miter lim="800000"/>
                      <a:headEnd/>
                      <a:tailEnd/>
                    </a:ln>
                  </pic:spPr>
                </pic:pic>
              </a:graphicData>
            </a:graphic>
          </wp:anchor>
        </w:drawing>
      </w:r>
      <w:r w:rsidR="00D63A80">
        <w:rPr>
          <w:noProof/>
          <w:lang w:val="es-PE" w:eastAsia="es-PE"/>
        </w:rPr>
        <w:pict>
          <v:shape id="_x0000_s100236" type="#_x0000_t202" style="position:absolute;left:0;text-align:left;margin-left:-16.15pt;margin-top:-26.5pt;width:82pt;height:17.55pt;z-index:251752960;mso-position-horizontal-relative:text;mso-position-vertical-relative:text;mso-width-relative:margin;mso-height-relative:margin" stroked="f">
            <v:textbox style="mso-next-textbox:#_x0000_s100236">
              <w:txbxContent>
                <w:p w:rsidR="00F2504B" w:rsidRDefault="00F2504B" w:rsidP="00897804">
                  <w:pPr>
                    <w:rPr>
                      <w:b/>
                      <w:sz w:val="20"/>
                      <w:szCs w:val="18"/>
                    </w:rPr>
                  </w:pPr>
                  <w:r w:rsidRPr="00016F5C">
                    <w:rPr>
                      <w:b/>
                      <w:sz w:val="20"/>
                      <w:szCs w:val="18"/>
                    </w:rPr>
                    <w:t>ANEXO 10</w:t>
                  </w:r>
                  <w:r>
                    <w:rPr>
                      <w:b/>
                      <w:sz w:val="20"/>
                      <w:szCs w:val="18"/>
                    </w:rPr>
                    <w:t xml:space="preserve">                                                      </w:t>
                  </w:r>
                </w:p>
              </w:txbxContent>
            </v:textbox>
          </v:shape>
        </w:pict>
      </w:r>
    </w:p>
    <w:p w:rsidR="00B47F81" w:rsidRDefault="00B47F81" w:rsidP="004E43C2">
      <w:pPr>
        <w:ind w:left="-57"/>
        <w:jc w:val="left"/>
        <w:rPr>
          <w:noProof/>
          <w:lang w:val="es-PE" w:eastAsia="es-PE"/>
        </w:rPr>
      </w:pPr>
    </w:p>
    <w:p w:rsidR="00B47F81" w:rsidRDefault="00B47F81" w:rsidP="004E43C2">
      <w:pPr>
        <w:ind w:left="-57"/>
        <w:jc w:val="left"/>
        <w:rPr>
          <w:noProof/>
          <w:lang w:val="es-PE" w:eastAsia="es-PE"/>
        </w:rPr>
      </w:pPr>
    </w:p>
    <w:p w:rsidR="00B47F81" w:rsidRDefault="00B47F81" w:rsidP="004E43C2">
      <w:pPr>
        <w:ind w:left="-57"/>
        <w:jc w:val="left"/>
        <w:rPr>
          <w:noProof/>
          <w:lang w:val="es-PE" w:eastAsia="es-PE"/>
        </w:rPr>
      </w:pPr>
    </w:p>
    <w:p w:rsidR="00C44654" w:rsidRPr="00C44654" w:rsidRDefault="00C44654" w:rsidP="004E43C2">
      <w:pPr>
        <w:ind w:left="-57"/>
        <w:jc w:val="left"/>
        <w:rPr>
          <w:noProof/>
          <w:lang w:val="es-PE" w:eastAsia="es-PE"/>
        </w:rPr>
      </w:pPr>
    </w:p>
    <w:p w:rsidR="00897804" w:rsidRDefault="00897804">
      <w:pPr>
        <w:jc w:val="left"/>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B47F81" w:rsidRDefault="00B47F81">
      <w:pPr>
        <w:jc w:val="left"/>
        <w:rPr>
          <w:b/>
          <w:sz w:val="20"/>
          <w:szCs w:val="20"/>
        </w:rPr>
      </w:pPr>
    </w:p>
    <w:p w:rsidR="00200830" w:rsidRPr="00200830" w:rsidRDefault="00200830">
      <w:pPr>
        <w:jc w:val="left"/>
        <w:rPr>
          <w:b/>
          <w:sz w:val="20"/>
          <w:szCs w:val="20"/>
        </w:rPr>
      </w:pPr>
      <w:r w:rsidRPr="008C05B2">
        <w:rPr>
          <w:b/>
          <w:sz w:val="20"/>
          <w:szCs w:val="20"/>
        </w:rPr>
        <w:t>ANEXO 11</w:t>
      </w:r>
    </w:p>
    <w:p w:rsidR="0084701F" w:rsidRDefault="0084701F">
      <w:pPr>
        <w:jc w:val="left"/>
      </w:pPr>
    </w:p>
    <w:p w:rsidR="00852557" w:rsidRPr="006940B1" w:rsidRDefault="00B47F81"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B47F81">
        <w:rPr>
          <w:noProof/>
          <w:lang w:val="es-PE" w:eastAsia="es-PE"/>
        </w:rPr>
        <w:drawing>
          <wp:inline distT="0" distB="0" distL="0" distR="0">
            <wp:extent cx="8257540" cy="3484761"/>
            <wp:effectExtent l="19050" t="0" r="0" b="0"/>
            <wp:docPr id="4"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1" cstate="print"/>
                    <a:srcRect/>
                    <a:stretch>
                      <a:fillRect/>
                    </a:stretch>
                  </pic:blipFill>
                  <pic:spPr bwMode="auto">
                    <a:xfrm>
                      <a:off x="0" y="0"/>
                      <a:ext cx="8257540" cy="3484761"/>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D63A80">
      <w:pPr>
        <w:rPr>
          <w:color w:val="FF0000"/>
          <w:lang w:val="es-MX"/>
        </w:rPr>
      </w:pPr>
      <w:r>
        <w:rPr>
          <w:noProof/>
          <w:color w:val="FF0000"/>
          <w:lang w:val="es-PE" w:eastAsia="es-PE"/>
        </w:rPr>
        <w:lastRenderedPageBreak/>
        <w:pict>
          <v:shape id="_x0000_s1160" type="#_x0000_t202" style="position:absolute;left:0;text-align:left;margin-left:.35pt;margin-top:-10pt;width:83.95pt;height:22.25pt;z-index:251653632;mso-width-relative:margin;mso-height-relative:margin" stroked="f">
            <v:textbox style="mso-next-textbox:#_x0000_s1160">
              <w:txbxContent>
                <w:p w:rsidR="00F2504B" w:rsidRDefault="00F2504B">
                  <w:pPr>
                    <w:rPr>
                      <w:b/>
                      <w:sz w:val="20"/>
                      <w:szCs w:val="20"/>
                    </w:rPr>
                  </w:pPr>
                  <w:r w:rsidRPr="00016F5C">
                    <w:rPr>
                      <w:b/>
                      <w:sz w:val="20"/>
                      <w:szCs w:val="20"/>
                    </w:rPr>
                    <w:t>ANEXO 12</w:t>
                  </w:r>
                  <w:r>
                    <w:rPr>
                      <w:b/>
                      <w:sz w:val="20"/>
                      <w:szCs w:val="20"/>
                    </w:rPr>
                    <w:t xml:space="preserve">                             </w:t>
                  </w:r>
                </w:p>
              </w:txbxContent>
            </v:textbox>
          </v:shape>
        </w:pict>
      </w:r>
    </w:p>
    <w:p w:rsidR="00B47F81" w:rsidRDefault="00B47F81">
      <w:pPr>
        <w:rPr>
          <w:color w:val="FF0000"/>
          <w:lang w:val="es-MX"/>
        </w:rPr>
      </w:pPr>
    </w:p>
    <w:p w:rsidR="00B47F81" w:rsidRDefault="00B47F81">
      <w:pPr>
        <w:rPr>
          <w:color w:val="FF0000"/>
          <w:lang w:val="es-MX"/>
        </w:rPr>
      </w:pPr>
    </w:p>
    <w:p w:rsidR="00111C7A" w:rsidRDefault="00B47F81">
      <w:pPr>
        <w:rPr>
          <w:color w:val="FF0000"/>
          <w:lang w:val="es-MX"/>
        </w:rPr>
      </w:pPr>
      <w:r w:rsidRPr="00B47F81">
        <w:rPr>
          <w:noProof/>
          <w:lang w:val="es-PE" w:eastAsia="es-PE"/>
        </w:rPr>
        <w:drawing>
          <wp:inline distT="0" distB="0" distL="0" distR="0">
            <wp:extent cx="8257540" cy="4835574"/>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2" cstate="print"/>
                    <a:srcRect/>
                    <a:stretch>
                      <a:fillRect/>
                    </a:stretch>
                  </pic:blipFill>
                  <pic:spPr bwMode="auto">
                    <a:xfrm>
                      <a:off x="0" y="0"/>
                      <a:ext cx="8257540" cy="4835574"/>
                    </a:xfrm>
                    <a:prstGeom prst="rect">
                      <a:avLst/>
                    </a:prstGeom>
                    <a:noFill/>
                    <a:ln w="9525">
                      <a:noFill/>
                      <a:miter lim="800000"/>
                      <a:headEnd/>
                      <a:tailEnd/>
                    </a:ln>
                  </pic:spPr>
                </pic:pic>
              </a:graphicData>
            </a:graphic>
          </wp:inline>
        </w:drawing>
      </w:r>
    </w:p>
    <w:p w:rsidR="00016F5C" w:rsidRDefault="00016F5C">
      <w:pPr>
        <w:rPr>
          <w:color w:val="FF0000"/>
          <w:lang w:val="es-MX"/>
        </w:rPr>
      </w:pPr>
    </w:p>
    <w:p w:rsidR="00016F5C" w:rsidRDefault="00B47F81">
      <w:pPr>
        <w:rPr>
          <w:color w:val="FF0000"/>
          <w:lang w:val="es-MX"/>
        </w:rPr>
      </w:pPr>
      <w:r>
        <w:rPr>
          <w:noProof/>
          <w:lang w:val="es-PE" w:eastAsia="es-PE"/>
        </w:rPr>
        <w:lastRenderedPageBreak/>
        <w:drawing>
          <wp:anchor distT="0" distB="0" distL="114300" distR="114300" simplePos="0" relativeHeight="251816448" behindDoc="0" locked="0" layoutInCell="1" allowOverlap="1">
            <wp:simplePos x="0" y="0"/>
            <wp:positionH relativeFrom="column">
              <wp:posOffset>23495</wp:posOffset>
            </wp:positionH>
            <wp:positionV relativeFrom="paragraph">
              <wp:posOffset>130175</wp:posOffset>
            </wp:positionV>
            <wp:extent cx="8258175" cy="6162675"/>
            <wp:effectExtent l="19050" t="0" r="9525" b="0"/>
            <wp:wrapNone/>
            <wp:docPr id="8"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3" cstate="print"/>
                    <a:srcRect/>
                    <a:stretch>
                      <a:fillRect/>
                    </a:stretch>
                  </pic:blipFill>
                  <pic:spPr bwMode="auto">
                    <a:xfrm>
                      <a:off x="0" y="0"/>
                      <a:ext cx="8258175" cy="6162675"/>
                    </a:xfrm>
                    <a:prstGeom prst="rect">
                      <a:avLst/>
                    </a:prstGeom>
                    <a:noFill/>
                    <a:ln w="9525">
                      <a:noFill/>
                      <a:miter lim="800000"/>
                      <a:headEnd/>
                      <a:tailEnd/>
                    </a:ln>
                  </pic:spPr>
                </pic:pic>
              </a:graphicData>
            </a:graphic>
          </wp:anchor>
        </w:drawing>
      </w:r>
      <w:r w:rsidR="00D63A80" w:rsidRPr="00D63A80">
        <w:rPr>
          <w:noProof/>
          <w:lang w:val="es-PE" w:eastAsia="es-PE"/>
        </w:rPr>
        <w:pict>
          <v:shape id="_x0000_s100000" type="#_x0000_t202" style="position:absolute;left:0;text-align:left;margin-left:-5.55pt;margin-top:-26.5pt;width:82.2pt;height:21.9pt;z-index:251723264;mso-position-horizontal-relative:text;mso-position-vertical-relative:text;mso-width-relative:margin;mso-height-relative:margin" stroked="f">
            <v:textbox style="mso-next-textbox:#_x0000_s100000">
              <w:txbxContent>
                <w:p w:rsidR="00F2504B" w:rsidRDefault="00F2504B" w:rsidP="00DF47DC">
                  <w:pPr>
                    <w:rPr>
                      <w:b/>
                      <w:sz w:val="20"/>
                      <w:szCs w:val="20"/>
                    </w:rPr>
                  </w:pPr>
                  <w:r w:rsidRPr="00D10FD3">
                    <w:rPr>
                      <w:b/>
                      <w:sz w:val="20"/>
                      <w:szCs w:val="20"/>
                    </w:rPr>
                    <w:t>ANEXO 13</w:t>
                  </w:r>
                  <w:r>
                    <w:rPr>
                      <w:b/>
                      <w:sz w:val="20"/>
                      <w:szCs w:val="20"/>
                    </w:rPr>
                    <w:t xml:space="preserve">                                                                      </w:t>
                  </w:r>
                </w:p>
              </w:txbxContent>
            </v:textbox>
          </v:shape>
        </w:pict>
      </w:r>
    </w:p>
    <w:p w:rsidR="00852557" w:rsidRDefault="00852557" w:rsidP="00097529">
      <w:pPr>
        <w:ind w:left="-170"/>
        <w:rPr>
          <w:color w:val="FF0000"/>
        </w:rPr>
        <w:sectPr w:rsidR="00852557">
          <w:type w:val="continuous"/>
          <w:pgSz w:w="15840" w:h="12240" w:orient="landscape"/>
          <w:pgMar w:top="1701" w:right="1418" w:bottom="1701" w:left="1418" w:header="709" w:footer="709" w:gutter="0"/>
          <w:cols w:space="708"/>
          <w:vAlign w:val="both"/>
          <w:docGrid w:linePitch="360"/>
        </w:sectPr>
      </w:pPr>
    </w:p>
    <w:p w:rsidR="00852557" w:rsidRDefault="00852557">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A56277">
      <w:pPr>
        <w:jc w:val="center"/>
        <w:rPr>
          <w:noProof/>
          <w:lang w:val="es-PE" w:eastAsia="es-PE"/>
        </w:rPr>
      </w:pPr>
      <w:r>
        <w:rPr>
          <w:noProof/>
          <w:color w:val="FF0000"/>
          <w:lang w:val="es-PE" w:eastAsia="es-PE"/>
        </w:rPr>
        <w:lastRenderedPageBreak/>
        <w:drawing>
          <wp:anchor distT="0" distB="0" distL="114300" distR="114300" simplePos="0" relativeHeight="251817472" behindDoc="0" locked="0" layoutInCell="1" allowOverlap="1">
            <wp:simplePos x="0" y="0"/>
            <wp:positionH relativeFrom="column">
              <wp:posOffset>23495</wp:posOffset>
            </wp:positionH>
            <wp:positionV relativeFrom="paragraph">
              <wp:posOffset>82550</wp:posOffset>
            </wp:positionV>
            <wp:extent cx="8258175" cy="5972175"/>
            <wp:effectExtent l="19050" t="0" r="9525" b="0"/>
            <wp:wrapNone/>
            <wp:docPr id="10"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4" cstate="print"/>
                    <a:srcRect/>
                    <a:stretch>
                      <a:fillRect/>
                    </a:stretch>
                  </pic:blipFill>
                  <pic:spPr bwMode="auto">
                    <a:xfrm>
                      <a:off x="0" y="0"/>
                      <a:ext cx="8258175" cy="5972175"/>
                    </a:xfrm>
                    <a:prstGeom prst="rect">
                      <a:avLst/>
                    </a:prstGeom>
                    <a:noFill/>
                    <a:ln w="9525">
                      <a:noFill/>
                      <a:miter lim="800000"/>
                      <a:headEnd/>
                      <a:tailEnd/>
                    </a:ln>
                  </pic:spPr>
                </pic:pic>
              </a:graphicData>
            </a:graphic>
          </wp:anchor>
        </w:drawing>
      </w:r>
      <w:r w:rsidR="00D63A80" w:rsidRPr="00D63A80">
        <w:rPr>
          <w:noProof/>
          <w:color w:val="FF0000"/>
          <w:lang w:val="es-PE" w:eastAsia="es-PE"/>
        </w:rPr>
        <w:pict>
          <v:shape id="_x0000_s1162" type="#_x0000_t202" style="position:absolute;left:0;text-align:left;margin-left:1.2pt;margin-top:-17.5pt;width:82.2pt;height:21.9pt;z-index:251655680;mso-position-horizontal-relative:text;mso-position-vertical-relative:text;mso-width-relative:margin;mso-height-relative:margin" stroked="f">
            <v:textbox style="mso-next-textbox:#_x0000_s1162">
              <w:txbxContent>
                <w:p w:rsidR="00F2504B" w:rsidRDefault="00F2504B">
                  <w:pPr>
                    <w:rPr>
                      <w:b/>
                      <w:sz w:val="20"/>
                      <w:szCs w:val="20"/>
                    </w:rPr>
                  </w:pPr>
                  <w:r w:rsidRPr="00DA2504">
                    <w:rPr>
                      <w:b/>
                      <w:sz w:val="20"/>
                      <w:szCs w:val="20"/>
                    </w:rPr>
                    <w:t>ANEXO 14</w:t>
                  </w:r>
                </w:p>
                <w:p w:rsidR="00F2504B" w:rsidRDefault="00F2504B">
                  <w:pPr>
                    <w:rPr>
                      <w:b/>
                      <w:sz w:val="20"/>
                      <w:szCs w:val="20"/>
                    </w:rPr>
                  </w:pPr>
                  <w:r>
                    <w:rPr>
                      <w:b/>
                      <w:sz w:val="20"/>
                      <w:szCs w:val="20"/>
                    </w:rPr>
                    <w:t xml:space="preserve">                                                                      </w:t>
                  </w:r>
                </w:p>
              </w:txbxContent>
            </v:textbox>
          </v:shape>
        </w:pict>
      </w:r>
    </w:p>
    <w:p w:rsidR="00B47F81" w:rsidRDefault="00B47F81" w:rsidP="00B47F81">
      <w:pPr>
        <w:jc w:val="left"/>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B47F81" w:rsidRDefault="00B47F81">
      <w:pPr>
        <w:jc w:val="center"/>
        <w:rPr>
          <w:noProof/>
          <w:lang w:val="es-PE" w:eastAsia="es-PE"/>
        </w:rPr>
      </w:pPr>
    </w:p>
    <w:p w:rsidR="00016F5C" w:rsidRDefault="00D63A80">
      <w:pPr>
        <w:jc w:val="center"/>
        <w:rPr>
          <w:noProof/>
          <w:lang w:val="es-PE" w:eastAsia="es-PE"/>
        </w:rPr>
      </w:pPr>
      <w:r w:rsidRPr="00D63A80">
        <w:rPr>
          <w:noProof/>
          <w:color w:val="FF0000"/>
          <w:lang w:val="es-PE" w:eastAsia="es-PE"/>
        </w:rPr>
        <w:pict>
          <v:shape id="_x0000_s1163" type="#_x0000_t202" style="position:absolute;left:0;text-align:left;margin-left:6.25pt;margin-top:3.5pt;width:71.75pt;height:19.2pt;z-index:251656704;mso-width-relative:margin;mso-height-relative:margin" stroked="f">
            <v:textbox style="mso-next-textbox:#_x0000_s1163">
              <w:txbxContent>
                <w:p w:rsidR="00F2504B" w:rsidRPr="00A2269E" w:rsidRDefault="00F2504B">
                  <w:pPr>
                    <w:rPr>
                      <w:b/>
                      <w:sz w:val="20"/>
                      <w:szCs w:val="18"/>
                    </w:rPr>
                  </w:pPr>
                  <w:r w:rsidRPr="00D10FD3">
                    <w:rPr>
                      <w:b/>
                      <w:sz w:val="20"/>
                      <w:szCs w:val="18"/>
                    </w:rPr>
                    <w:t>ANEXO 15</w:t>
                  </w:r>
                </w:p>
                <w:p w:rsidR="00F2504B" w:rsidRDefault="00F2504B">
                  <w:pPr>
                    <w:rPr>
                      <w:b/>
                      <w:sz w:val="20"/>
                      <w:szCs w:val="18"/>
                    </w:rPr>
                  </w:pPr>
                </w:p>
                <w:p w:rsidR="00F2504B" w:rsidRDefault="00F2504B">
                  <w:pPr>
                    <w:rPr>
                      <w:b/>
                      <w:sz w:val="20"/>
                      <w:szCs w:val="18"/>
                    </w:rPr>
                  </w:pPr>
                  <w:r>
                    <w:rPr>
                      <w:b/>
                      <w:sz w:val="20"/>
                      <w:szCs w:val="18"/>
                    </w:rPr>
                    <w:t xml:space="preserve">                                                              </w:t>
                  </w:r>
                </w:p>
              </w:txbxContent>
            </v:textbox>
          </v:shape>
        </w:pict>
      </w:r>
    </w:p>
    <w:p w:rsidR="00724DCB" w:rsidRDefault="00724DCB" w:rsidP="00724DCB">
      <w:pPr>
        <w:rPr>
          <w:noProof/>
          <w:lang w:val="es-PE" w:eastAsia="es-PE"/>
        </w:rPr>
      </w:pPr>
    </w:p>
    <w:p w:rsidR="00724DCB" w:rsidRDefault="00724DCB" w:rsidP="00724DCB">
      <w:pPr>
        <w:rPr>
          <w:noProof/>
          <w:lang w:val="es-PE" w:eastAsia="es-PE"/>
        </w:rPr>
      </w:pPr>
    </w:p>
    <w:p w:rsidR="00016F5C" w:rsidRDefault="00572AF6" w:rsidP="00724DCB">
      <w:pPr>
        <w:rPr>
          <w:noProof/>
          <w:lang w:val="es-PE" w:eastAsia="es-PE"/>
        </w:rPr>
      </w:pPr>
      <w:r w:rsidRPr="00572AF6">
        <w:rPr>
          <w:noProof/>
          <w:lang w:val="es-PE" w:eastAsia="es-PE"/>
        </w:rPr>
        <w:drawing>
          <wp:inline distT="0" distB="0" distL="0" distR="0">
            <wp:extent cx="8257540" cy="2645380"/>
            <wp:effectExtent l="1905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5" cstate="print"/>
                    <a:srcRect/>
                    <a:stretch>
                      <a:fillRect/>
                    </a:stretch>
                  </pic:blipFill>
                  <pic:spPr bwMode="auto">
                    <a:xfrm>
                      <a:off x="0" y="0"/>
                      <a:ext cx="8257540" cy="2645380"/>
                    </a:xfrm>
                    <a:prstGeom prst="rect">
                      <a:avLst/>
                    </a:prstGeom>
                    <a:noFill/>
                    <a:ln w="9525">
                      <a:noFill/>
                      <a:miter lim="800000"/>
                      <a:headEnd/>
                      <a:tailEnd/>
                    </a:ln>
                  </pic:spPr>
                </pic:pic>
              </a:graphicData>
            </a:graphic>
          </wp:inline>
        </w:drawing>
      </w:r>
    </w:p>
    <w:p w:rsidR="00724DCB" w:rsidRDefault="00724DCB" w:rsidP="00724DCB">
      <w:pPr>
        <w:jc w:val="left"/>
        <w:rPr>
          <w:noProof/>
          <w:lang w:val="es-PE" w:eastAsia="es-PE"/>
        </w:rPr>
      </w:pPr>
    </w:p>
    <w:p w:rsidR="00724DCB" w:rsidRDefault="00724DCB" w:rsidP="00724DCB">
      <w:pPr>
        <w:jc w:val="left"/>
        <w:rPr>
          <w:noProof/>
          <w:lang w:val="es-PE" w:eastAsia="es-PE"/>
        </w:rPr>
      </w:pPr>
    </w:p>
    <w:p w:rsidR="00724DCB" w:rsidRDefault="00724DCB" w:rsidP="00724DCB">
      <w:pPr>
        <w:jc w:val="left"/>
        <w:rPr>
          <w:noProof/>
          <w:lang w:val="es-PE" w:eastAsia="es-PE"/>
        </w:rPr>
      </w:pPr>
    </w:p>
    <w:p w:rsidR="00852557" w:rsidRDefault="00852557">
      <w:pPr>
        <w:jc w:val="center"/>
        <w:rPr>
          <w:noProof/>
          <w:lang w:val="es-PE" w:eastAsia="es-PE"/>
        </w:rPr>
      </w:pPr>
    </w:p>
    <w:p w:rsidR="006718B5" w:rsidRDefault="006718B5">
      <w:pPr>
        <w:jc w:val="center"/>
        <w:rPr>
          <w:noProof/>
          <w:lang w:val="es-PE" w:eastAsia="es-PE"/>
        </w:rPr>
      </w:pPr>
    </w:p>
    <w:p w:rsidR="006718B5" w:rsidRDefault="006718B5">
      <w:pPr>
        <w:jc w:val="center"/>
        <w:rPr>
          <w:color w:val="FF0000"/>
        </w:rPr>
        <w:sectPr w:rsidR="006718B5">
          <w:type w:val="continuous"/>
          <w:pgSz w:w="15840" w:h="12240" w:orient="landscape"/>
          <w:pgMar w:top="1701" w:right="1418" w:bottom="1701" w:left="1418" w:header="709" w:footer="709" w:gutter="0"/>
          <w:cols w:space="708"/>
          <w:vAlign w:val="both"/>
          <w:docGrid w:linePitch="360"/>
        </w:sectPr>
      </w:pP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76"/>
          <w:footerReference w:type="default" r:id="rId177"/>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63" type="#_x0000_t75" style="width:84pt;height:34.5pt" o:ole="">
            <v:imagedata r:id="rId178" o:title=""/>
          </v:shape>
          <o:OLEObject Type="Embed" ProgID="Equation.3" ShapeID="_x0000_i1063" DrawAspect="Content" ObjectID="_1423063401" r:id="rId179"/>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0"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64" type="#_x0000_t75" style="width:198pt;height:187.5pt" o:ole="">
            <v:imagedata r:id="rId181" o:title=""/>
          </v:shape>
          <o:OLEObject Type="Embed" ProgID="Excel.Sheet.8" ShapeID="_x0000_i1064" DrawAspect="Content" ObjectID="_1423063402" r:id="rId182"/>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3799" w:rsidRDefault="00363799">
      <w:r>
        <w:separator/>
      </w:r>
    </w:p>
  </w:endnote>
  <w:endnote w:type="continuationSeparator" w:id="0">
    <w:p w:rsidR="00363799" w:rsidRDefault="0036379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F2504B" w:rsidRDefault="00F2504B">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0302DD">
      <w:rPr>
        <w:rStyle w:val="Nmerodepgina"/>
        <w:noProof/>
      </w:rPr>
      <w:t>8</w:t>
    </w:r>
    <w:r>
      <w:rPr>
        <w:rStyle w:val="Nmerodepgina"/>
      </w:rPr>
      <w:fldChar w:fldCharType="end"/>
    </w:r>
  </w:p>
  <w:p w:rsidR="00F2504B" w:rsidRDefault="00F2504B">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0302DD">
      <w:rPr>
        <w:rStyle w:val="Nmerodepgina"/>
        <w:noProof/>
      </w:rPr>
      <w:t>9</w:t>
    </w:r>
    <w:r>
      <w:rPr>
        <w:rStyle w:val="Nmerodepgina"/>
      </w:rPr>
      <w:fldChar w:fldCharType="end"/>
    </w:r>
  </w:p>
  <w:p w:rsidR="00F2504B" w:rsidRDefault="00F2504B">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rsidR="00F2504B" w:rsidRDefault="00F2504B">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F2504B" w:rsidRDefault="00F2504B">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ind w:right="360"/>
      <w:rPr>
        <w:rStyle w:val="Nmerodepgina"/>
      </w:rPr>
    </w:pPr>
  </w:p>
  <w:p w:rsidR="00F2504B" w:rsidRDefault="00F2504B">
    <w:pPr>
      <w:pStyle w:val="Piedepgina"/>
      <w:ind w:right="360"/>
      <w:jc w:val="right"/>
    </w:pPr>
    <w:r>
      <w:rPr>
        <w:rStyle w:val="Nmerodepgina"/>
      </w:rPr>
      <w:fldChar w:fldCharType="begin"/>
    </w:r>
    <w:r>
      <w:rPr>
        <w:rStyle w:val="Nmerodepgina"/>
      </w:rPr>
      <w:instrText xml:space="preserve"> PAGE </w:instrText>
    </w:r>
    <w:r>
      <w:rPr>
        <w:rStyle w:val="Nmerodepgina"/>
      </w:rPr>
      <w:fldChar w:fldCharType="separate"/>
    </w:r>
    <w:r w:rsidR="000302DD">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Pr="00DB5977" w:rsidRDefault="00F2504B" w:rsidP="00DB5977">
    <w:pPr>
      <w:pStyle w:val="Piedepgina"/>
      <w:jc w:val="right"/>
      <w:rPr>
        <w:lang w:val="es-PE"/>
      </w:rPr>
    </w:pPr>
    <w:r>
      <w:rPr>
        <w:lang w:val="es-PE"/>
      </w:rPr>
      <w:t>20</w: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0302DD">
      <w:rPr>
        <w:rStyle w:val="Nmerodepgina"/>
        <w:noProof/>
      </w:rPr>
      <w:t>15</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2446AE">
      <w:rPr>
        <w:rStyle w:val="Nmerodepgina"/>
        <w:noProof/>
      </w:rPr>
      <w:t>21</w:t>
    </w:r>
    <w:r>
      <w:rPr>
        <w:rStyle w:val="Nmerodepgina"/>
      </w:rPr>
      <w:fldChar w:fldCharType="end"/>
    </w:r>
  </w:p>
  <w:p w:rsidR="00F2504B" w:rsidRDefault="00F2504B">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54293"/>
      <w:docPartObj>
        <w:docPartGallery w:val="Page Numbers (Bottom of Page)"/>
        <w:docPartUnique/>
      </w:docPartObj>
    </w:sdtPr>
    <w:sdtContent>
      <w:p w:rsidR="00F2504B" w:rsidRDefault="00F2504B">
        <w:pPr>
          <w:pStyle w:val="Piedepgina"/>
          <w:jc w:val="right"/>
        </w:pPr>
        <w:fldSimple w:instr=" PAGE   \* MERGEFORMAT ">
          <w:r w:rsidR="000302DD">
            <w:rPr>
              <w:noProof/>
            </w:rPr>
            <w:t>2</w:t>
          </w:r>
        </w:fldSimple>
      </w:p>
    </w:sdtContent>
  </w:sdt>
  <w:p w:rsidR="00F2504B" w:rsidRDefault="00F2504B">
    <w:pPr>
      <w:pStyle w:val="Piedepgina"/>
      <w:jc w:val="right"/>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2446AE">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24</w:t>
    </w:r>
    <w:r>
      <w:rPr>
        <w:rStyle w:val="Nmerodepgina"/>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2446AE">
      <w:rPr>
        <w:rStyle w:val="Nmerodepgina"/>
        <w:noProof/>
      </w:rPr>
      <w:t>24</w:t>
    </w:r>
    <w:r>
      <w:rPr>
        <w:rStyle w:val="Nmerodepgina"/>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2446AE">
      <w:rPr>
        <w:rStyle w:val="Nmerodepgina"/>
        <w:noProof/>
      </w:rPr>
      <w:t>25</w:t>
    </w:r>
    <w:r>
      <w:rPr>
        <w:rStyle w:val="Nmerodepgina"/>
      </w:rPr>
      <w:fldChar w:fldCharType="end"/>
    </w:r>
  </w:p>
  <w:p w:rsidR="00F2504B" w:rsidRDefault="00F2504B">
    <w:pPr>
      <w:pStyle w:val="Piedepgina"/>
      <w:ind w:right="360"/>
      <w:jc w:val="right"/>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2446AE">
      <w:rPr>
        <w:rStyle w:val="Nmerodepgina"/>
        <w:noProof/>
      </w:rPr>
      <w:t>27</w:t>
    </w:r>
    <w:r>
      <w:rPr>
        <w:rStyle w:val="Nmerodepgina"/>
      </w:rPr>
      <w:fldChar w:fldCharType="end"/>
    </w:r>
  </w:p>
  <w:p w:rsidR="00F2504B" w:rsidRDefault="00F2504B" w:rsidP="00A26C6B">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w:t>
    </w:r>
    <w:r>
      <w:rPr>
        <w:rStyle w:val="Nmerodepgina"/>
      </w:rPr>
      <w:fldChar w:fldCharType="end"/>
    </w:r>
  </w:p>
  <w:p w:rsidR="00F2504B" w:rsidRDefault="00F2504B"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28</w:t>
    </w:r>
    <w:r>
      <w:rPr>
        <w:rStyle w:val="Nmerodepgina"/>
      </w:rPr>
      <w:fldChar w:fldCharType="end"/>
    </w:r>
  </w:p>
  <w:p w:rsidR="00F2504B" w:rsidRDefault="00F2504B">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2446AE">
      <w:rPr>
        <w:rStyle w:val="Nmerodepgina"/>
        <w:noProof/>
      </w:rPr>
      <w:t>28</w:t>
    </w:r>
    <w:r>
      <w:rPr>
        <w:rStyle w:val="Nmerodepgina"/>
      </w:rPr>
      <w:fldChar w:fldCharType="end"/>
    </w:r>
  </w:p>
  <w:p w:rsidR="00F2504B" w:rsidRDefault="00F2504B">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6B2E1E">
    <w:pPr>
      <w:pStyle w:val="Piedepgina"/>
      <w:framePr w:wrap="around" w:vAnchor="text" w:hAnchor="page" w:x="14356" w:y="145"/>
      <w:rPr>
        <w:rStyle w:val="Nmerodepgina"/>
      </w:rPr>
    </w:pPr>
    <w:r>
      <w:rPr>
        <w:rStyle w:val="Nmerodepgina"/>
      </w:rPr>
      <w:fldChar w:fldCharType="begin"/>
    </w:r>
    <w:r>
      <w:rPr>
        <w:rStyle w:val="Nmerodepgina"/>
      </w:rPr>
      <w:instrText xml:space="preserve">PAGE  </w:instrText>
    </w:r>
    <w:r>
      <w:rPr>
        <w:rStyle w:val="Nmerodepgina"/>
      </w:rPr>
      <w:fldChar w:fldCharType="separate"/>
    </w:r>
    <w:r w:rsidR="002446AE">
      <w:rPr>
        <w:rStyle w:val="Nmerodepgina"/>
        <w:noProof/>
      </w:rPr>
      <w:t>32</w:t>
    </w:r>
    <w:r>
      <w:rPr>
        <w:rStyle w:val="Nmerodepgina"/>
      </w:rPr>
      <w:fldChar w:fldCharType="end"/>
    </w:r>
  </w:p>
  <w:p w:rsidR="00F2504B" w:rsidRDefault="00F2504B">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2446AE">
      <w:rPr>
        <w:rStyle w:val="Nmerodepgina"/>
        <w:noProof/>
      </w:rPr>
      <w:t>44</w:t>
    </w:r>
    <w:r>
      <w:rPr>
        <w:rStyle w:val="Nmerodepgina"/>
      </w:rPr>
      <w:fldChar w:fldCharType="end"/>
    </w:r>
  </w:p>
  <w:p w:rsidR="00F2504B" w:rsidRDefault="00F2504B">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0302DD">
      <w:rPr>
        <w:noProof/>
        <w:snapToGrid w:val="0"/>
      </w:rPr>
      <w:t>3</w:t>
    </w:r>
    <w:r>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DB5977">
    <w:pPr>
      <w:pStyle w:val="Piedepgina"/>
      <w:jc w:val="right"/>
    </w:pP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0302DD">
      <w:rPr>
        <w:noProof/>
        <w:snapToGrid w:val="0"/>
      </w:rPr>
      <w:t>5</w:t>
    </w:r>
    <w:r>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Piedepgina"/>
      <w:jc w:val="right"/>
    </w:pPr>
    <w:fldSimple w:instr=" PAGE   \* MERGEFORMAT ">
      <w:r w:rsidR="000302DD">
        <w:rPr>
          <w:noProof/>
        </w:rPr>
        <w:t>7</w:t>
      </w:r>
    </w:fldSimple>
  </w:p>
  <w:p w:rsidR="00F2504B" w:rsidRDefault="00F2504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3799" w:rsidRDefault="00363799">
      <w:r>
        <w:separator/>
      </w:r>
    </w:p>
  </w:footnote>
  <w:footnote w:type="continuationSeparator" w:id="0">
    <w:p w:rsidR="00363799" w:rsidRDefault="00363799">
      <w:r>
        <w:continuationSeparator/>
      </w:r>
    </w:p>
  </w:footnote>
  <w:footnote w:id="1">
    <w:p w:rsidR="00F2504B" w:rsidRDefault="00F2504B">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rPr>
        <w:i/>
      </w:rPr>
    </w:pPr>
    <w:r>
      <w:rPr>
        <w:i/>
      </w:rPr>
      <w:t>Síntesis Económica de Piura Diciembre  2012</w:t>
    </w:r>
  </w:p>
  <w:p w:rsidR="00F2504B" w:rsidRDefault="00F2504B">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pPr>
    <w:r>
      <w:tab/>
      <w:t>Síntesis Económica de Piura Octubre  2009</w:t>
    </w:r>
  </w:p>
  <w:p w:rsidR="00F2504B" w:rsidRDefault="00F2504B" w:rsidP="00253F18">
    <w:pPr>
      <w:pStyle w:val="Encabezado"/>
    </w:pPr>
  </w:p>
  <w:p w:rsidR="00F2504B" w:rsidRDefault="00F2504B"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Pr="00B54CAE" w:rsidRDefault="00F2504B" w:rsidP="00392AF3">
    <w:pPr>
      <w:pStyle w:val="Encabezado"/>
      <w:rPr>
        <w:i/>
      </w:rPr>
    </w:pPr>
  </w:p>
  <w:p w:rsidR="00F2504B" w:rsidRDefault="00F2504B"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Encabezado"/>
      <w:rPr>
        <w:lang w:val="es-PE"/>
      </w:rPr>
    </w:pPr>
  </w:p>
  <w:p w:rsidR="00F2504B" w:rsidRPr="00253F18" w:rsidRDefault="00F2504B">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Pr="00443DB8" w:rsidRDefault="00F2504B" w:rsidP="00253F18">
    <w:pPr>
      <w:pStyle w:val="Encabezado"/>
      <w:rPr>
        <w:i/>
      </w:rPr>
    </w:pPr>
    <w:r w:rsidRPr="00443DB8">
      <w:rPr>
        <w:i/>
      </w:rPr>
      <w:t xml:space="preserve">Síntesis Económica de Piura </w:t>
    </w:r>
    <w:r>
      <w:rPr>
        <w:i/>
      </w:rPr>
      <w:t>Noviembre</w:t>
    </w:r>
    <w:r w:rsidRPr="00443DB8">
      <w:rPr>
        <w:i/>
      </w:rPr>
      <w:t xml:space="preserve">  20</w:t>
    </w:r>
    <w:r>
      <w:rPr>
        <w:i/>
      </w:rPr>
      <w:t>12</w:t>
    </w:r>
  </w:p>
  <w:p w:rsidR="00F2504B" w:rsidRDefault="00F2504B" w:rsidP="00253F18">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pPr>
      <w:pStyle w:val="Encabezado"/>
      <w:rPr>
        <w:i/>
      </w:rPr>
    </w:pPr>
    <w:r>
      <w:rPr>
        <w:i/>
      </w:rPr>
      <w:t>Síntesis Económica de Piura Diciembre 2012</w:t>
    </w:r>
  </w:p>
  <w:p w:rsidR="00F2504B" w:rsidRDefault="00F2504B">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B136FC">
    <w:pPr>
      <w:pStyle w:val="Encabezado"/>
      <w:rPr>
        <w:i/>
      </w:rPr>
    </w:pPr>
    <w:r>
      <w:rPr>
        <w:i/>
      </w:rPr>
      <w:t>Síntesis Económica de Piura Abril  2012</w:t>
    </w:r>
  </w:p>
  <w:p w:rsidR="00F2504B" w:rsidRDefault="00F2504B">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rPr>
        <w:i/>
      </w:rPr>
    </w:pPr>
    <w:r>
      <w:rPr>
        <w:i/>
      </w:rPr>
      <w:t>Síntesis Económica de Piura Enero  2012</w:t>
    </w:r>
  </w:p>
  <w:p w:rsidR="00F2504B" w:rsidRDefault="00F2504B"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p w:rsidR="00F2504B" w:rsidRDefault="00F2504B"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C00468">
    <w:pPr>
      <w:pStyle w:val="Encabezado"/>
      <w:rPr>
        <w:i/>
      </w:rPr>
    </w:pPr>
  </w:p>
  <w:p w:rsidR="00F2504B" w:rsidRDefault="00F2504B"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p w:rsidR="00F2504B" w:rsidRDefault="00F2504B"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Pr="0007511F" w:rsidRDefault="00F2504B"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Noviembre  2012</w:t>
    </w:r>
  </w:p>
  <w:p w:rsidR="00F2504B" w:rsidRPr="00C00468" w:rsidRDefault="00F2504B" w:rsidP="00C00468">
    <w:pPr>
      <w:pStyle w:val="Encabezado"/>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04B" w:rsidRDefault="00F2504B" w:rsidP="00E83D8B">
    <w:pPr>
      <w:pStyle w:val="Encabezado"/>
      <w:rPr>
        <w:i/>
      </w:rPr>
    </w:pPr>
    <w:r>
      <w:rPr>
        <w:i/>
      </w:rPr>
      <w:t>Síntesis Económica de Piura Diciembre  2012</w:t>
    </w:r>
  </w:p>
  <w:p w:rsidR="00F2504B" w:rsidRDefault="00F2504B"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585730">
      <o:colormenu v:ext="edit" strokecolor="none"/>
    </o:shapedefaults>
  </w:hdrShapeDefaults>
  <w:footnotePr>
    <w:footnote w:id="-1"/>
    <w:footnote w:id="0"/>
  </w:footnotePr>
  <w:endnotePr>
    <w:endnote w:id="-1"/>
    <w:endnote w:id="0"/>
  </w:endnotePr>
  <w:compat/>
  <w:rsids>
    <w:rsidRoot w:val="00317274"/>
    <w:rsid w:val="00000146"/>
    <w:rsid w:val="000006EB"/>
    <w:rsid w:val="00003F85"/>
    <w:rsid w:val="00005AF1"/>
    <w:rsid w:val="00005AFD"/>
    <w:rsid w:val="00006AFD"/>
    <w:rsid w:val="00010DFF"/>
    <w:rsid w:val="00011A40"/>
    <w:rsid w:val="00016F5C"/>
    <w:rsid w:val="00017898"/>
    <w:rsid w:val="00017979"/>
    <w:rsid w:val="0002010A"/>
    <w:rsid w:val="00020939"/>
    <w:rsid w:val="00020C5A"/>
    <w:rsid w:val="00021C48"/>
    <w:rsid w:val="000225C1"/>
    <w:rsid w:val="00022B17"/>
    <w:rsid w:val="00024075"/>
    <w:rsid w:val="000271A9"/>
    <w:rsid w:val="00027A05"/>
    <w:rsid w:val="00027F35"/>
    <w:rsid w:val="000302DD"/>
    <w:rsid w:val="000319BC"/>
    <w:rsid w:val="00031C43"/>
    <w:rsid w:val="00034490"/>
    <w:rsid w:val="00035D28"/>
    <w:rsid w:val="0003764C"/>
    <w:rsid w:val="00037F5B"/>
    <w:rsid w:val="000414D8"/>
    <w:rsid w:val="00041EEA"/>
    <w:rsid w:val="0004352C"/>
    <w:rsid w:val="00045694"/>
    <w:rsid w:val="000458D5"/>
    <w:rsid w:val="00046241"/>
    <w:rsid w:val="00047CC5"/>
    <w:rsid w:val="00050260"/>
    <w:rsid w:val="000540B7"/>
    <w:rsid w:val="0005411D"/>
    <w:rsid w:val="00054AAC"/>
    <w:rsid w:val="00055928"/>
    <w:rsid w:val="00057F69"/>
    <w:rsid w:val="00060440"/>
    <w:rsid w:val="00061BF1"/>
    <w:rsid w:val="00063236"/>
    <w:rsid w:val="00065132"/>
    <w:rsid w:val="000655B4"/>
    <w:rsid w:val="00066EF9"/>
    <w:rsid w:val="0007002A"/>
    <w:rsid w:val="000706A7"/>
    <w:rsid w:val="000711CB"/>
    <w:rsid w:val="00072E3C"/>
    <w:rsid w:val="000746D5"/>
    <w:rsid w:val="0007511F"/>
    <w:rsid w:val="0007733C"/>
    <w:rsid w:val="0007754A"/>
    <w:rsid w:val="000803B1"/>
    <w:rsid w:val="00081081"/>
    <w:rsid w:val="0008127B"/>
    <w:rsid w:val="00081A8C"/>
    <w:rsid w:val="00081AA1"/>
    <w:rsid w:val="00083071"/>
    <w:rsid w:val="00083232"/>
    <w:rsid w:val="0008391D"/>
    <w:rsid w:val="00083A53"/>
    <w:rsid w:val="00084CFA"/>
    <w:rsid w:val="000865D1"/>
    <w:rsid w:val="00086771"/>
    <w:rsid w:val="00087042"/>
    <w:rsid w:val="00090DE0"/>
    <w:rsid w:val="000910F0"/>
    <w:rsid w:val="00091811"/>
    <w:rsid w:val="00091B43"/>
    <w:rsid w:val="00091FCA"/>
    <w:rsid w:val="00092396"/>
    <w:rsid w:val="00093345"/>
    <w:rsid w:val="00094770"/>
    <w:rsid w:val="00096BB9"/>
    <w:rsid w:val="00097529"/>
    <w:rsid w:val="000979CC"/>
    <w:rsid w:val="000A5747"/>
    <w:rsid w:val="000A5939"/>
    <w:rsid w:val="000A61A7"/>
    <w:rsid w:val="000A6B8A"/>
    <w:rsid w:val="000B0AFA"/>
    <w:rsid w:val="000B0C0B"/>
    <w:rsid w:val="000B0ED6"/>
    <w:rsid w:val="000B0FF8"/>
    <w:rsid w:val="000B1811"/>
    <w:rsid w:val="000B2256"/>
    <w:rsid w:val="000B312D"/>
    <w:rsid w:val="000B46E9"/>
    <w:rsid w:val="000B5209"/>
    <w:rsid w:val="000B659B"/>
    <w:rsid w:val="000B6AFE"/>
    <w:rsid w:val="000B72FD"/>
    <w:rsid w:val="000C0C14"/>
    <w:rsid w:val="000C2284"/>
    <w:rsid w:val="000C33D4"/>
    <w:rsid w:val="000C45A7"/>
    <w:rsid w:val="000C7CD7"/>
    <w:rsid w:val="000D03DD"/>
    <w:rsid w:val="000D0430"/>
    <w:rsid w:val="000D1039"/>
    <w:rsid w:val="000D20A0"/>
    <w:rsid w:val="000D3447"/>
    <w:rsid w:val="000D5057"/>
    <w:rsid w:val="000D5807"/>
    <w:rsid w:val="000D5F4F"/>
    <w:rsid w:val="000D7A92"/>
    <w:rsid w:val="000E2291"/>
    <w:rsid w:val="000E32E0"/>
    <w:rsid w:val="000E473F"/>
    <w:rsid w:val="000E48B0"/>
    <w:rsid w:val="000E5C2C"/>
    <w:rsid w:val="000E7BAD"/>
    <w:rsid w:val="000F3E1A"/>
    <w:rsid w:val="000F54DB"/>
    <w:rsid w:val="000F6330"/>
    <w:rsid w:val="000F66B2"/>
    <w:rsid w:val="00100434"/>
    <w:rsid w:val="001015A0"/>
    <w:rsid w:val="00102682"/>
    <w:rsid w:val="001027C8"/>
    <w:rsid w:val="001034E7"/>
    <w:rsid w:val="0010369C"/>
    <w:rsid w:val="00103975"/>
    <w:rsid w:val="0010493D"/>
    <w:rsid w:val="001049D8"/>
    <w:rsid w:val="00104C7C"/>
    <w:rsid w:val="00104EBB"/>
    <w:rsid w:val="0011080F"/>
    <w:rsid w:val="0011150B"/>
    <w:rsid w:val="00111A7C"/>
    <w:rsid w:val="00111C7A"/>
    <w:rsid w:val="0011275B"/>
    <w:rsid w:val="00115098"/>
    <w:rsid w:val="00121505"/>
    <w:rsid w:val="001217E4"/>
    <w:rsid w:val="00122A01"/>
    <w:rsid w:val="0012355F"/>
    <w:rsid w:val="001240D6"/>
    <w:rsid w:val="001246BE"/>
    <w:rsid w:val="00124A56"/>
    <w:rsid w:val="00124F05"/>
    <w:rsid w:val="001258A0"/>
    <w:rsid w:val="00126019"/>
    <w:rsid w:val="001263E0"/>
    <w:rsid w:val="00126EC3"/>
    <w:rsid w:val="0013017C"/>
    <w:rsid w:val="001302BB"/>
    <w:rsid w:val="0013050A"/>
    <w:rsid w:val="001308C6"/>
    <w:rsid w:val="00130FC0"/>
    <w:rsid w:val="001317A0"/>
    <w:rsid w:val="00132636"/>
    <w:rsid w:val="00133ACC"/>
    <w:rsid w:val="00133E46"/>
    <w:rsid w:val="00136735"/>
    <w:rsid w:val="00137FE2"/>
    <w:rsid w:val="001400F6"/>
    <w:rsid w:val="001414E7"/>
    <w:rsid w:val="00142064"/>
    <w:rsid w:val="00142340"/>
    <w:rsid w:val="00143142"/>
    <w:rsid w:val="00143594"/>
    <w:rsid w:val="00144FEC"/>
    <w:rsid w:val="001469D2"/>
    <w:rsid w:val="00146CCF"/>
    <w:rsid w:val="00147380"/>
    <w:rsid w:val="00152640"/>
    <w:rsid w:val="00153DDC"/>
    <w:rsid w:val="00154F7D"/>
    <w:rsid w:val="0015594F"/>
    <w:rsid w:val="00156426"/>
    <w:rsid w:val="001615FD"/>
    <w:rsid w:val="00161C19"/>
    <w:rsid w:val="00162C63"/>
    <w:rsid w:val="001634BF"/>
    <w:rsid w:val="00164E59"/>
    <w:rsid w:val="00164E67"/>
    <w:rsid w:val="00165A89"/>
    <w:rsid w:val="00165FDA"/>
    <w:rsid w:val="00167108"/>
    <w:rsid w:val="00170B3C"/>
    <w:rsid w:val="0017100C"/>
    <w:rsid w:val="001717EB"/>
    <w:rsid w:val="00171B10"/>
    <w:rsid w:val="00171E51"/>
    <w:rsid w:val="001723BF"/>
    <w:rsid w:val="00173541"/>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250B"/>
    <w:rsid w:val="0019373C"/>
    <w:rsid w:val="00194533"/>
    <w:rsid w:val="00194CA4"/>
    <w:rsid w:val="001965C4"/>
    <w:rsid w:val="00196EFE"/>
    <w:rsid w:val="001A0A0D"/>
    <w:rsid w:val="001A39A8"/>
    <w:rsid w:val="001A39D0"/>
    <w:rsid w:val="001A4068"/>
    <w:rsid w:val="001B09BA"/>
    <w:rsid w:val="001B4408"/>
    <w:rsid w:val="001B4EE1"/>
    <w:rsid w:val="001B5027"/>
    <w:rsid w:val="001B5371"/>
    <w:rsid w:val="001C0633"/>
    <w:rsid w:val="001C0EB6"/>
    <w:rsid w:val="001C30D2"/>
    <w:rsid w:val="001C335B"/>
    <w:rsid w:val="001C3764"/>
    <w:rsid w:val="001C61F3"/>
    <w:rsid w:val="001C6917"/>
    <w:rsid w:val="001D0223"/>
    <w:rsid w:val="001D065E"/>
    <w:rsid w:val="001D0923"/>
    <w:rsid w:val="001D217F"/>
    <w:rsid w:val="001D219A"/>
    <w:rsid w:val="001D2244"/>
    <w:rsid w:val="001D41AB"/>
    <w:rsid w:val="001D42EB"/>
    <w:rsid w:val="001D5F9A"/>
    <w:rsid w:val="001D6CBE"/>
    <w:rsid w:val="001D7E3C"/>
    <w:rsid w:val="001E1479"/>
    <w:rsid w:val="001E2F37"/>
    <w:rsid w:val="001E30D9"/>
    <w:rsid w:val="001E3ED7"/>
    <w:rsid w:val="001E641D"/>
    <w:rsid w:val="001E77EA"/>
    <w:rsid w:val="001F1DAB"/>
    <w:rsid w:val="001F23F5"/>
    <w:rsid w:val="001F2864"/>
    <w:rsid w:val="001F37F0"/>
    <w:rsid w:val="001F53A6"/>
    <w:rsid w:val="001F5F50"/>
    <w:rsid w:val="001F6271"/>
    <w:rsid w:val="001F697C"/>
    <w:rsid w:val="001F6ADC"/>
    <w:rsid w:val="001F750C"/>
    <w:rsid w:val="001F7E1E"/>
    <w:rsid w:val="00200830"/>
    <w:rsid w:val="00200F61"/>
    <w:rsid w:val="00201D6C"/>
    <w:rsid w:val="00206651"/>
    <w:rsid w:val="00207D85"/>
    <w:rsid w:val="00207E7C"/>
    <w:rsid w:val="002107AE"/>
    <w:rsid w:val="0021270B"/>
    <w:rsid w:val="00212B59"/>
    <w:rsid w:val="00214792"/>
    <w:rsid w:val="00214BC3"/>
    <w:rsid w:val="00216839"/>
    <w:rsid w:val="00216A75"/>
    <w:rsid w:val="00216CDD"/>
    <w:rsid w:val="00217541"/>
    <w:rsid w:val="00220B39"/>
    <w:rsid w:val="00224122"/>
    <w:rsid w:val="0022668E"/>
    <w:rsid w:val="00227237"/>
    <w:rsid w:val="0023031E"/>
    <w:rsid w:val="00230F26"/>
    <w:rsid w:val="00231A2E"/>
    <w:rsid w:val="00232040"/>
    <w:rsid w:val="0023296E"/>
    <w:rsid w:val="002338C2"/>
    <w:rsid w:val="002339A6"/>
    <w:rsid w:val="00234A64"/>
    <w:rsid w:val="00235AC7"/>
    <w:rsid w:val="00236746"/>
    <w:rsid w:val="00237060"/>
    <w:rsid w:val="00237F82"/>
    <w:rsid w:val="002411BB"/>
    <w:rsid w:val="0024136E"/>
    <w:rsid w:val="002446AE"/>
    <w:rsid w:val="00247CFD"/>
    <w:rsid w:val="00247D2D"/>
    <w:rsid w:val="0025185B"/>
    <w:rsid w:val="00253CE0"/>
    <w:rsid w:val="00253DD2"/>
    <w:rsid w:val="00253F18"/>
    <w:rsid w:val="00255E25"/>
    <w:rsid w:val="00255EF5"/>
    <w:rsid w:val="002560B5"/>
    <w:rsid w:val="0025752E"/>
    <w:rsid w:val="0026013D"/>
    <w:rsid w:val="0026214A"/>
    <w:rsid w:val="002667FB"/>
    <w:rsid w:val="002677C8"/>
    <w:rsid w:val="00267811"/>
    <w:rsid w:val="00267F59"/>
    <w:rsid w:val="00270881"/>
    <w:rsid w:val="002724C9"/>
    <w:rsid w:val="0027256B"/>
    <w:rsid w:val="00273656"/>
    <w:rsid w:val="00273C0F"/>
    <w:rsid w:val="00274158"/>
    <w:rsid w:val="002745B2"/>
    <w:rsid w:val="00274817"/>
    <w:rsid w:val="00275C02"/>
    <w:rsid w:val="00275E8C"/>
    <w:rsid w:val="00276CEE"/>
    <w:rsid w:val="00276E10"/>
    <w:rsid w:val="00280095"/>
    <w:rsid w:val="002808C3"/>
    <w:rsid w:val="002817B4"/>
    <w:rsid w:val="00282244"/>
    <w:rsid w:val="00282C48"/>
    <w:rsid w:val="00283A13"/>
    <w:rsid w:val="00283FAF"/>
    <w:rsid w:val="002873D0"/>
    <w:rsid w:val="00290A92"/>
    <w:rsid w:val="0029442F"/>
    <w:rsid w:val="00294D9F"/>
    <w:rsid w:val="0029576C"/>
    <w:rsid w:val="002A0D93"/>
    <w:rsid w:val="002A0FF7"/>
    <w:rsid w:val="002A1467"/>
    <w:rsid w:val="002A14B6"/>
    <w:rsid w:val="002A165E"/>
    <w:rsid w:val="002A3CA0"/>
    <w:rsid w:val="002A3EC2"/>
    <w:rsid w:val="002A467B"/>
    <w:rsid w:val="002A5663"/>
    <w:rsid w:val="002A69F6"/>
    <w:rsid w:val="002B28EB"/>
    <w:rsid w:val="002B5C33"/>
    <w:rsid w:val="002B6215"/>
    <w:rsid w:val="002B73C1"/>
    <w:rsid w:val="002B74DC"/>
    <w:rsid w:val="002B7EE6"/>
    <w:rsid w:val="002C0BCE"/>
    <w:rsid w:val="002C277E"/>
    <w:rsid w:val="002C4847"/>
    <w:rsid w:val="002C4CFF"/>
    <w:rsid w:val="002C6530"/>
    <w:rsid w:val="002C7986"/>
    <w:rsid w:val="002D08BC"/>
    <w:rsid w:val="002D1C24"/>
    <w:rsid w:val="002D1CB3"/>
    <w:rsid w:val="002D38A2"/>
    <w:rsid w:val="002D5842"/>
    <w:rsid w:val="002E1C48"/>
    <w:rsid w:val="002E351C"/>
    <w:rsid w:val="002E39DD"/>
    <w:rsid w:val="002E3F59"/>
    <w:rsid w:val="002E50CD"/>
    <w:rsid w:val="002E524C"/>
    <w:rsid w:val="002E72E7"/>
    <w:rsid w:val="002F07B5"/>
    <w:rsid w:val="002F0DBF"/>
    <w:rsid w:val="002F0DD4"/>
    <w:rsid w:val="002F1688"/>
    <w:rsid w:val="002F1E9F"/>
    <w:rsid w:val="002F2C43"/>
    <w:rsid w:val="002F36A7"/>
    <w:rsid w:val="002F3A24"/>
    <w:rsid w:val="002F3D86"/>
    <w:rsid w:val="002F3F15"/>
    <w:rsid w:val="002F5175"/>
    <w:rsid w:val="002F553A"/>
    <w:rsid w:val="002F6253"/>
    <w:rsid w:val="002F6FEA"/>
    <w:rsid w:val="002F7F3B"/>
    <w:rsid w:val="0030035E"/>
    <w:rsid w:val="00300A79"/>
    <w:rsid w:val="00300EF8"/>
    <w:rsid w:val="003017E5"/>
    <w:rsid w:val="003030B8"/>
    <w:rsid w:val="003074D8"/>
    <w:rsid w:val="00310B9A"/>
    <w:rsid w:val="00310EF7"/>
    <w:rsid w:val="003110CB"/>
    <w:rsid w:val="0031184E"/>
    <w:rsid w:val="00312016"/>
    <w:rsid w:val="003120C0"/>
    <w:rsid w:val="00312148"/>
    <w:rsid w:val="00313ED4"/>
    <w:rsid w:val="0031546D"/>
    <w:rsid w:val="003167C8"/>
    <w:rsid w:val="00317274"/>
    <w:rsid w:val="00317592"/>
    <w:rsid w:val="003217DC"/>
    <w:rsid w:val="00321BF6"/>
    <w:rsid w:val="0032253C"/>
    <w:rsid w:val="00322565"/>
    <w:rsid w:val="00322B22"/>
    <w:rsid w:val="00322B59"/>
    <w:rsid w:val="00323202"/>
    <w:rsid w:val="00323BA7"/>
    <w:rsid w:val="00324EBF"/>
    <w:rsid w:val="00325E57"/>
    <w:rsid w:val="00327EE7"/>
    <w:rsid w:val="0033095F"/>
    <w:rsid w:val="0033272A"/>
    <w:rsid w:val="00333A50"/>
    <w:rsid w:val="00333F34"/>
    <w:rsid w:val="003400BA"/>
    <w:rsid w:val="003402DD"/>
    <w:rsid w:val="0034202B"/>
    <w:rsid w:val="00345713"/>
    <w:rsid w:val="003474C5"/>
    <w:rsid w:val="00347D0B"/>
    <w:rsid w:val="00350BC3"/>
    <w:rsid w:val="00351199"/>
    <w:rsid w:val="0035146A"/>
    <w:rsid w:val="003520A2"/>
    <w:rsid w:val="00354A38"/>
    <w:rsid w:val="00354A7A"/>
    <w:rsid w:val="00355C63"/>
    <w:rsid w:val="00356FA0"/>
    <w:rsid w:val="0036002A"/>
    <w:rsid w:val="003600FD"/>
    <w:rsid w:val="0036066A"/>
    <w:rsid w:val="003608D7"/>
    <w:rsid w:val="003629CA"/>
    <w:rsid w:val="00363799"/>
    <w:rsid w:val="00364026"/>
    <w:rsid w:val="0036489F"/>
    <w:rsid w:val="003658FA"/>
    <w:rsid w:val="00365C4D"/>
    <w:rsid w:val="003673F5"/>
    <w:rsid w:val="00367AF6"/>
    <w:rsid w:val="003711B6"/>
    <w:rsid w:val="0037131B"/>
    <w:rsid w:val="00371587"/>
    <w:rsid w:val="00371EF0"/>
    <w:rsid w:val="003748DF"/>
    <w:rsid w:val="00375873"/>
    <w:rsid w:val="00376BA8"/>
    <w:rsid w:val="00377929"/>
    <w:rsid w:val="00377FC9"/>
    <w:rsid w:val="003812B9"/>
    <w:rsid w:val="003824C2"/>
    <w:rsid w:val="0038368B"/>
    <w:rsid w:val="00384C96"/>
    <w:rsid w:val="003872E9"/>
    <w:rsid w:val="0038767D"/>
    <w:rsid w:val="00387758"/>
    <w:rsid w:val="00387E30"/>
    <w:rsid w:val="00390FE3"/>
    <w:rsid w:val="00392AF3"/>
    <w:rsid w:val="00393534"/>
    <w:rsid w:val="00393AE8"/>
    <w:rsid w:val="00393F3E"/>
    <w:rsid w:val="00394BC1"/>
    <w:rsid w:val="00395223"/>
    <w:rsid w:val="00395C90"/>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14E"/>
    <w:rsid w:val="003B2377"/>
    <w:rsid w:val="003B2F07"/>
    <w:rsid w:val="003B30E6"/>
    <w:rsid w:val="003B30E9"/>
    <w:rsid w:val="003B335C"/>
    <w:rsid w:val="003B39CB"/>
    <w:rsid w:val="003B604B"/>
    <w:rsid w:val="003B7B43"/>
    <w:rsid w:val="003C50DC"/>
    <w:rsid w:val="003C58E6"/>
    <w:rsid w:val="003C6026"/>
    <w:rsid w:val="003C7F6F"/>
    <w:rsid w:val="003D1918"/>
    <w:rsid w:val="003D2D01"/>
    <w:rsid w:val="003D3038"/>
    <w:rsid w:val="003D36A9"/>
    <w:rsid w:val="003D4908"/>
    <w:rsid w:val="003D51E4"/>
    <w:rsid w:val="003D5A43"/>
    <w:rsid w:val="003D6631"/>
    <w:rsid w:val="003D667E"/>
    <w:rsid w:val="003D6C32"/>
    <w:rsid w:val="003E00FC"/>
    <w:rsid w:val="003E0380"/>
    <w:rsid w:val="003E0B82"/>
    <w:rsid w:val="003E1A7E"/>
    <w:rsid w:val="003E2F1B"/>
    <w:rsid w:val="003E38DE"/>
    <w:rsid w:val="003E3AE3"/>
    <w:rsid w:val="003E41DD"/>
    <w:rsid w:val="003E4BC2"/>
    <w:rsid w:val="003E4C0A"/>
    <w:rsid w:val="003E533E"/>
    <w:rsid w:val="003E63F2"/>
    <w:rsid w:val="003E644C"/>
    <w:rsid w:val="003F1918"/>
    <w:rsid w:val="003F1C67"/>
    <w:rsid w:val="003F24B8"/>
    <w:rsid w:val="003F524A"/>
    <w:rsid w:val="003F5375"/>
    <w:rsid w:val="003F61E9"/>
    <w:rsid w:val="003F61ED"/>
    <w:rsid w:val="003F7942"/>
    <w:rsid w:val="004003AE"/>
    <w:rsid w:val="0040195F"/>
    <w:rsid w:val="00401ADA"/>
    <w:rsid w:val="00401CA7"/>
    <w:rsid w:val="00401F3D"/>
    <w:rsid w:val="0040205D"/>
    <w:rsid w:val="00402939"/>
    <w:rsid w:val="00410852"/>
    <w:rsid w:val="00410C3A"/>
    <w:rsid w:val="00413033"/>
    <w:rsid w:val="00413508"/>
    <w:rsid w:val="00414D84"/>
    <w:rsid w:val="0041597C"/>
    <w:rsid w:val="00416000"/>
    <w:rsid w:val="004175B5"/>
    <w:rsid w:val="00417822"/>
    <w:rsid w:val="004217C4"/>
    <w:rsid w:val="00421E7E"/>
    <w:rsid w:val="00423A5A"/>
    <w:rsid w:val="00423C1D"/>
    <w:rsid w:val="00423FD4"/>
    <w:rsid w:val="0043048B"/>
    <w:rsid w:val="00430C59"/>
    <w:rsid w:val="0043209D"/>
    <w:rsid w:val="00432EEE"/>
    <w:rsid w:val="0043337B"/>
    <w:rsid w:val="00433849"/>
    <w:rsid w:val="0043754D"/>
    <w:rsid w:val="00437DF1"/>
    <w:rsid w:val="00443DB8"/>
    <w:rsid w:val="00447E07"/>
    <w:rsid w:val="00453FE2"/>
    <w:rsid w:val="00456515"/>
    <w:rsid w:val="004565F2"/>
    <w:rsid w:val="004575E6"/>
    <w:rsid w:val="00461929"/>
    <w:rsid w:val="00461F45"/>
    <w:rsid w:val="004651BA"/>
    <w:rsid w:val="004657DD"/>
    <w:rsid w:val="00466446"/>
    <w:rsid w:val="00466ED6"/>
    <w:rsid w:val="0046755F"/>
    <w:rsid w:val="00470006"/>
    <w:rsid w:val="0047037A"/>
    <w:rsid w:val="004720B9"/>
    <w:rsid w:val="0047393E"/>
    <w:rsid w:val="00473C5F"/>
    <w:rsid w:val="004747C3"/>
    <w:rsid w:val="00474ADA"/>
    <w:rsid w:val="00475005"/>
    <w:rsid w:val="00475595"/>
    <w:rsid w:val="00475623"/>
    <w:rsid w:val="004758D9"/>
    <w:rsid w:val="00480929"/>
    <w:rsid w:val="00480DA4"/>
    <w:rsid w:val="00481215"/>
    <w:rsid w:val="00482D62"/>
    <w:rsid w:val="00482FA5"/>
    <w:rsid w:val="004833F8"/>
    <w:rsid w:val="00483779"/>
    <w:rsid w:val="00483950"/>
    <w:rsid w:val="0048395D"/>
    <w:rsid w:val="004843D3"/>
    <w:rsid w:val="0048656E"/>
    <w:rsid w:val="00486623"/>
    <w:rsid w:val="00487180"/>
    <w:rsid w:val="004872E8"/>
    <w:rsid w:val="00493A2B"/>
    <w:rsid w:val="00494BB5"/>
    <w:rsid w:val="00495AAB"/>
    <w:rsid w:val="00496397"/>
    <w:rsid w:val="00496449"/>
    <w:rsid w:val="004970F1"/>
    <w:rsid w:val="004A02A7"/>
    <w:rsid w:val="004A0D85"/>
    <w:rsid w:val="004A1B20"/>
    <w:rsid w:val="004A1D64"/>
    <w:rsid w:val="004A27F4"/>
    <w:rsid w:val="004A2D07"/>
    <w:rsid w:val="004A2EEB"/>
    <w:rsid w:val="004A3245"/>
    <w:rsid w:val="004A3ECD"/>
    <w:rsid w:val="004A4311"/>
    <w:rsid w:val="004A4D78"/>
    <w:rsid w:val="004A5847"/>
    <w:rsid w:val="004A5DA5"/>
    <w:rsid w:val="004A61C4"/>
    <w:rsid w:val="004A71F7"/>
    <w:rsid w:val="004A74AB"/>
    <w:rsid w:val="004B07B9"/>
    <w:rsid w:val="004B1E6C"/>
    <w:rsid w:val="004B2251"/>
    <w:rsid w:val="004B3B47"/>
    <w:rsid w:val="004B3ED2"/>
    <w:rsid w:val="004B5011"/>
    <w:rsid w:val="004B578A"/>
    <w:rsid w:val="004B5E5D"/>
    <w:rsid w:val="004B78B2"/>
    <w:rsid w:val="004C1071"/>
    <w:rsid w:val="004C19C0"/>
    <w:rsid w:val="004C2FE0"/>
    <w:rsid w:val="004C3C43"/>
    <w:rsid w:val="004C3CD7"/>
    <w:rsid w:val="004C5B2C"/>
    <w:rsid w:val="004C6164"/>
    <w:rsid w:val="004C6DA6"/>
    <w:rsid w:val="004C711F"/>
    <w:rsid w:val="004C7447"/>
    <w:rsid w:val="004D2BB5"/>
    <w:rsid w:val="004D4FA2"/>
    <w:rsid w:val="004D760B"/>
    <w:rsid w:val="004D7624"/>
    <w:rsid w:val="004E080B"/>
    <w:rsid w:val="004E119E"/>
    <w:rsid w:val="004E15E2"/>
    <w:rsid w:val="004E17E0"/>
    <w:rsid w:val="004E43C2"/>
    <w:rsid w:val="004E61E3"/>
    <w:rsid w:val="004E6441"/>
    <w:rsid w:val="004E6795"/>
    <w:rsid w:val="004E68B5"/>
    <w:rsid w:val="004E6F7E"/>
    <w:rsid w:val="004F1880"/>
    <w:rsid w:val="004F2097"/>
    <w:rsid w:val="004F31E6"/>
    <w:rsid w:val="004F4CC2"/>
    <w:rsid w:val="004F51D8"/>
    <w:rsid w:val="004F71F2"/>
    <w:rsid w:val="00500249"/>
    <w:rsid w:val="00500706"/>
    <w:rsid w:val="00501EFC"/>
    <w:rsid w:val="00503DFB"/>
    <w:rsid w:val="00505CDB"/>
    <w:rsid w:val="005063B4"/>
    <w:rsid w:val="00506C00"/>
    <w:rsid w:val="00506EE8"/>
    <w:rsid w:val="0051182A"/>
    <w:rsid w:val="00511BE4"/>
    <w:rsid w:val="00513624"/>
    <w:rsid w:val="0051565F"/>
    <w:rsid w:val="00517430"/>
    <w:rsid w:val="0052052B"/>
    <w:rsid w:val="00520B0A"/>
    <w:rsid w:val="005229DA"/>
    <w:rsid w:val="0052453D"/>
    <w:rsid w:val="00524847"/>
    <w:rsid w:val="005248D1"/>
    <w:rsid w:val="00524D48"/>
    <w:rsid w:val="0052573A"/>
    <w:rsid w:val="0052649D"/>
    <w:rsid w:val="005266B2"/>
    <w:rsid w:val="00526CC4"/>
    <w:rsid w:val="00527509"/>
    <w:rsid w:val="00527674"/>
    <w:rsid w:val="00530AB2"/>
    <w:rsid w:val="005330D7"/>
    <w:rsid w:val="00533B14"/>
    <w:rsid w:val="00533D57"/>
    <w:rsid w:val="0053483B"/>
    <w:rsid w:val="00534E39"/>
    <w:rsid w:val="0053682D"/>
    <w:rsid w:val="005369C9"/>
    <w:rsid w:val="0053788A"/>
    <w:rsid w:val="00540360"/>
    <w:rsid w:val="00540724"/>
    <w:rsid w:val="005424DD"/>
    <w:rsid w:val="005435FE"/>
    <w:rsid w:val="00544D27"/>
    <w:rsid w:val="00546760"/>
    <w:rsid w:val="0054791F"/>
    <w:rsid w:val="00547AA1"/>
    <w:rsid w:val="00551565"/>
    <w:rsid w:val="0055244D"/>
    <w:rsid w:val="005559C6"/>
    <w:rsid w:val="0056151F"/>
    <w:rsid w:val="00563E05"/>
    <w:rsid w:val="00564A57"/>
    <w:rsid w:val="00564E5A"/>
    <w:rsid w:val="00570895"/>
    <w:rsid w:val="005713F6"/>
    <w:rsid w:val="00572AF6"/>
    <w:rsid w:val="0057553C"/>
    <w:rsid w:val="0057590E"/>
    <w:rsid w:val="00580B57"/>
    <w:rsid w:val="0058139D"/>
    <w:rsid w:val="005813DE"/>
    <w:rsid w:val="00582B3F"/>
    <w:rsid w:val="00582F7A"/>
    <w:rsid w:val="005830E0"/>
    <w:rsid w:val="005839BB"/>
    <w:rsid w:val="005843B2"/>
    <w:rsid w:val="005848B3"/>
    <w:rsid w:val="00585203"/>
    <w:rsid w:val="00585BE3"/>
    <w:rsid w:val="00587D2D"/>
    <w:rsid w:val="00590EA8"/>
    <w:rsid w:val="0059212D"/>
    <w:rsid w:val="00592B2C"/>
    <w:rsid w:val="00593F7A"/>
    <w:rsid w:val="005944FB"/>
    <w:rsid w:val="00594AF1"/>
    <w:rsid w:val="00594DAB"/>
    <w:rsid w:val="00596288"/>
    <w:rsid w:val="005A0A8E"/>
    <w:rsid w:val="005A48E3"/>
    <w:rsid w:val="005A4C43"/>
    <w:rsid w:val="005A7B6E"/>
    <w:rsid w:val="005B1549"/>
    <w:rsid w:val="005B5FC0"/>
    <w:rsid w:val="005B7A80"/>
    <w:rsid w:val="005B7CE2"/>
    <w:rsid w:val="005C4A2D"/>
    <w:rsid w:val="005C4C1F"/>
    <w:rsid w:val="005C5292"/>
    <w:rsid w:val="005C5D2F"/>
    <w:rsid w:val="005C674B"/>
    <w:rsid w:val="005C76B2"/>
    <w:rsid w:val="005D0716"/>
    <w:rsid w:val="005D0720"/>
    <w:rsid w:val="005D2715"/>
    <w:rsid w:val="005D46AA"/>
    <w:rsid w:val="005D506F"/>
    <w:rsid w:val="005D77BE"/>
    <w:rsid w:val="005E07C1"/>
    <w:rsid w:val="005E2ABF"/>
    <w:rsid w:val="005E40D1"/>
    <w:rsid w:val="005E6C7E"/>
    <w:rsid w:val="005E7AE7"/>
    <w:rsid w:val="005F0B3E"/>
    <w:rsid w:val="005F21EE"/>
    <w:rsid w:val="005F281C"/>
    <w:rsid w:val="005F30A4"/>
    <w:rsid w:val="005F3B70"/>
    <w:rsid w:val="005F3D10"/>
    <w:rsid w:val="005F4C09"/>
    <w:rsid w:val="005F6653"/>
    <w:rsid w:val="005F6F02"/>
    <w:rsid w:val="005F73C5"/>
    <w:rsid w:val="006001DC"/>
    <w:rsid w:val="006021AF"/>
    <w:rsid w:val="00602E1C"/>
    <w:rsid w:val="006030F0"/>
    <w:rsid w:val="006038ED"/>
    <w:rsid w:val="0060601E"/>
    <w:rsid w:val="006062DB"/>
    <w:rsid w:val="00607B9E"/>
    <w:rsid w:val="00612894"/>
    <w:rsid w:val="00612940"/>
    <w:rsid w:val="006130B4"/>
    <w:rsid w:val="00613E82"/>
    <w:rsid w:val="006150C4"/>
    <w:rsid w:val="006161C6"/>
    <w:rsid w:val="00617E6C"/>
    <w:rsid w:val="0062037D"/>
    <w:rsid w:val="0062054A"/>
    <w:rsid w:val="00620A01"/>
    <w:rsid w:val="00621C85"/>
    <w:rsid w:val="00624CFB"/>
    <w:rsid w:val="00624EE2"/>
    <w:rsid w:val="006254CE"/>
    <w:rsid w:val="00625A1E"/>
    <w:rsid w:val="006265DC"/>
    <w:rsid w:val="00626F1E"/>
    <w:rsid w:val="00627090"/>
    <w:rsid w:val="00630A29"/>
    <w:rsid w:val="00632AB3"/>
    <w:rsid w:val="00633EE3"/>
    <w:rsid w:val="006342E2"/>
    <w:rsid w:val="006353B2"/>
    <w:rsid w:val="006358E5"/>
    <w:rsid w:val="006369AE"/>
    <w:rsid w:val="00637EA3"/>
    <w:rsid w:val="006423C9"/>
    <w:rsid w:val="00644567"/>
    <w:rsid w:val="00646EB4"/>
    <w:rsid w:val="006474DD"/>
    <w:rsid w:val="006503A5"/>
    <w:rsid w:val="0065135F"/>
    <w:rsid w:val="00651B74"/>
    <w:rsid w:val="00652446"/>
    <w:rsid w:val="00652D8E"/>
    <w:rsid w:val="006536D5"/>
    <w:rsid w:val="0065441A"/>
    <w:rsid w:val="00655697"/>
    <w:rsid w:val="0065774F"/>
    <w:rsid w:val="00660638"/>
    <w:rsid w:val="0066135D"/>
    <w:rsid w:val="0066182D"/>
    <w:rsid w:val="006625FC"/>
    <w:rsid w:val="00662BA9"/>
    <w:rsid w:val="006640EA"/>
    <w:rsid w:val="0066485C"/>
    <w:rsid w:val="00664D7C"/>
    <w:rsid w:val="006658EC"/>
    <w:rsid w:val="0066613A"/>
    <w:rsid w:val="006662A2"/>
    <w:rsid w:val="006679FF"/>
    <w:rsid w:val="0067094D"/>
    <w:rsid w:val="00670BEF"/>
    <w:rsid w:val="00670E44"/>
    <w:rsid w:val="0067160A"/>
    <w:rsid w:val="006718B5"/>
    <w:rsid w:val="00673026"/>
    <w:rsid w:val="00675AA8"/>
    <w:rsid w:val="00675F1C"/>
    <w:rsid w:val="0067661F"/>
    <w:rsid w:val="00680C58"/>
    <w:rsid w:val="0068371C"/>
    <w:rsid w:val="00683ACD"/>
    <w:rsid w:val="00683C86"/>
    <w:rsid w:val="0068486E"/>
    <w:rsid w:val="006852A5"/>
    <w:rsid w:val="00685380"/>
    <w:rsid w:val="00690444"/>
    <w:rsid w:val="006906BA"/>
    <w:rsid w:val="00690A9B"/>
    <w:rsid w:val="006913BD"/>
    <w:rsid w:val="00691E2B"/>
    <w:rsid w:val="00692CFE"/>
    <w:rsid w:val="006938EA"/>
    <w:rsid w:val="006940B1"/>
    <w:rsid w:val="00694E3F"/>
    <w:rsid w:val="00696EC6"/>
    <w:rsid w:val="00696EC8"/>
    <w:rsid w:val="0069742A"/>
    <w:rsid w:val="00697934"/>
    <w:rsid w:val="006A057A"/>
    <w:rsid w:val="006A118D"/>
    <w:rsid w:val="006A1253"/>
    <w:rsid w:val="006A1659"/>
    <w:rsid w:val="006A181B"/>
    <w:rsid w:val="006A29C8"/>
    <w:rsid w:val="006A4B81"/>
    <w:rsid w:val="006A54C0"/>
    <w:rsid w:val="006B052E"/>
    <w:rsid w:val="006B253D"/>
    <w:rsid w:val="006B2E1E"/>
    <w:rsid w:val="006B3FA8"/>
    <w:rsid w:val="006C1354"/>
    <w:rsid w:val="006C2911"/>
    <w:rsid w:val="006C39FC"/>
    <w:rsid w:val="006C4497"/>
    <w:rsid w:val="006C4C43"/>
    <w:rsid w:val="006C4C96"/>
    <w:rsid w:val="006C6640"/>
    <w:rsid w:val="006D2A9D"/>
    <w:rsid w:val="006D3939"/>
    <w:rsid w:val="006D41CC"/>
    <w:rsid w:val="006D741B"/>
    <w:rsid w:val="006E186C"/>
    <w:rsid w:val="006E494B"/>
    <w:rsid w:val="006F15C6"/>
    <w:rsid w:val="006F2A4B"/>
    <w:rsid w:val="006F3640"/>
    <w:rsid w:val="006F394D"/>
    <w:rsid w:val="006F5BC2"/>
    <w:rsid w:val="006F6758"/>
    <w:rsid w:val="006F6AD4"/>
    <w:rsid w:val="006F75F1"/>
    <w:rsid w:val="00701F15"/>
    <w:rsid w:val="00701F39"/>
    <w:rsid w:val="00702329"/>
    <w:rsid w:val="00702B4E"/>
    <w:rsid w:val="007030F1"/>
    <w:rsid w:val="00703496"/>
    <w:rsid w:val="007046AE"/>
    <w:rsid w:val="00704B80"/>
    <w:rsid w:val="007062B5"/>
    <w:rsid w:val="00707927"/>
    <w:rsid w:val="00711138"/>
    <w:rsid w:val="00712D30"/>
    <w:rsid w:val="00714024"/>
    <w:rsid w:val="00714287"/>
    <w:rsid w:val="0071474F"/>
    <w:rsid w:val="00715721"/>
    <w:rsid w:val="00717519"/>
    <w:rsid w:val="0072162B"/>
    <w:rsid w:val="00722E76"/>
    <w:rsid w:val="00723547"/>
    <w:rsid w:val="00724DCB"/>
    <w:rsid w:val="0073266A"/>
    <w:rsid w:val="00732C08"/>
    <w:rsid w:val="007345AA"/>
    <w:rsid w:val="00734B29"/>
    <w:rsid w:val="0073517A"/>
    <w:rsid w:val="00735C2D"/>
    <w:rsid w:val="0073649C"/>
    <w:rsid w:val="007401B5"/>
    <w:rsid w:val="00740E3C"/>
    <w:rsid w:val="0074133B"/>
    <w:rsid w:val="00741C8C"/>
    <w:rsid w:val="00742AE8"/>
    <w:rsid w:val="00744041"/>
    <w:rsid w:val="007459ED"/>
    <w:rsid w:val="00746ABA"/>
    <w:rsid w:val="00750AB1"/>
    <w:rsid w:val="007522BF"/>
    <w:rsid w:val="00753409"/>
    <w:rsid w:val="00756451"/>
    <w:rsid w:val="00756558"/>
    <w:rsid w:val="00757D14"/>
    <w:rsid w:val="007600DD"/>
    <w:rsid w:val="00762444"/>
    <w:rsid w:val="00762B96"/>
    <w:rsid w:val="007633DB"/>
    <w:rsid w:val="00763B0E"/>
    <w:rsid w:val="00763DBE"/>
    <w:rsid w:val="0076447C"/>
    <w:rsid w:val="00764B24"/>
    <w:rsid w:val="0076771E"/>
    <w:rsid w:val="00767BBB"/>
    <w:rsid w:val="00771301"/>
    <w:rsid w:val="00772711"/>
    <w:rsid w:val="007740FD"/>
    <w:rsid w:val="00774B1B"/>
    <w:rsid w:val="007762B9"/>
    <w:rsid w:val="0078121F"/>
    <w:rsid w:val="0078126F"/>
    <w:rsid w:val="00781F2D"/>
    <w:rsid w:val="007824FA"/>
    <w:rsid w:val="00782704"/>
    <w:rsid w:val="00784451"/>
    <w:rsid w:val="00787C8B"/>
    <w:rsid w:val="00791033"/>
    <w:rsid w:val="00791CCE"/>
    <w:rsid w:val="00792527"/>
    <w:rsid w:val="007931D5"/>
    <w:rsid w:val="00793470"/>
    <w:rsid w:val="007940E8"/>
    <w:rsid w:val="007945B2"/>
    <w:rsid w:val="007950DE"/>
    <w:rsid w:val="0079747F"/>
    <w:rsid w:val="007A0205"/>
    <w:rsid w:val="007A47B0"/>
    <w:rsid w:val="007A4C78"/>
    <w:rsid w:val="007A4FC6"/>
    <w:rsid w:val="007A53DA"/>
    <w:rsid w:val="007A5D2F"/>
    <w:rsid w:val="007B01F9"/>
    <w:rsid w:val="007B17A2"/>
    <w:rsid w:val="007B26FF"/>
    <w:rsid w:val="007B2C84"/>
    <w:rsid w:val="007B3C9E"/>
    <w:rsid w:val="007B428B"/>
    <w:rsid w:val="007B4670"/>
    <w:rsid w:val="007B47FE"/>
    <w:rsid w:val="007B4A97"/>
    <w:rsid w:val="007B4C10"/>
    <w:rsid w:val="007B68CB"/>
    <w:rsid w:val="007C0329"/>
    <w:rsid w:val="007C10D5"/>
    <w:rsid w:val="007C23F9"/>
    <w:rsid w:val="007C2C5C"/>
    <w:rsid w:val="007C36CC"/>
    <w:rsid w:val="007C5414"/>
    <w:rsid w:val="007C5EDE"/>
    <w:rsid w:val="007C6543"/>
    <w:rsid w:val="007C7B23"/>
    <w:rsid w:val="007D136B"/>
    <w:rsid w:val="007D32DE"/>
    <w:rsid w:val="007D45E0"/>
    <w:rsid w:val="007D62CD"/>
    <w:rsid w:val="007D6548"/>
    <w:rsid w:val="007D67E4"/>
    <w:rsid w:val="007D7F94"/>
    <w:rsid w:val="007E0019"/>
    <w:rsid w:val="007E0A39"/>
    <w:rsid w:val="007E0B01"/>
    <w:rsid w:val="007E0B4C"/>
    <w:rsid w:val="007E1B9F"/>
    <w:rsid w:val="007E1DFB"/>
    <w:rsid w:val="007E235B"/>
    <w:rsid w:val="007E2AB8"/>
    <w:rsid w:val="007E4338"/>
    <w:rsid w:val="007E4DD8"/>
    <w:rsid w:val="007E5026"/>
    <w:rsid w:val="007E54D7"/>
    <w:rsid w:val="007E7C91"/>
    <w:rsid w:val="007F106F"/>
    <w:rsid w:val="007F169A"/>
    <w:rsid w:val="007F4042"/>
    <w:rsid w:val="007F5CE7"/>
    <w:rsid w:val="007F6307"/>
    <w:rsid w:val="007F6778"/>
    <w:rsid w:val="007F6E65"/>
    <w:rsid w:val="007F6EB1"/>
    <w:rsid w:val="007F77EB"/>
    <w:rsid w:val="00802D0F"/>
    <w:rsid w:val="008033D2"/>
    <w:rsid w:val="00803BBF"/>
    <w:rsid w:val="00803D5B"/>
    <w:rsid w:val="0080411C"/>
    <w:rsid w:val="00804B84"/>
    <w:rsid w:val="0080647F"/>
    <w:rsid w:val="00807AEC"/>
    <w:rsid w:val="0081017D"/>
    <w:rsid w:val="00810FBA"/>
    <w:rsid w:val="00813440"/>
    <w:rsid w:val="0081398B"/>
    <w:rsid w:val="008217FE"/>
    <w:rsid w:val="00822669"/>
    <w:rsid w:val="00824F55"/>
    <w:rsid w:val="008257DA"/>
    <w:rsid w:val="00827A4E"/>
    <w:rsid w:val="008302D7"/>
    <w:rsid w:val="008315D0"/>
    <w:rsid w:val="008327F0"/>
    <w:rsid w:val="00834A07"/>
    <w:rsid w:val="00835490"/>
    <w:rsid w:val="0083559F"/>
    <w:rsid w:val="00837EE7"/>
    <w:rsid w:val="00840E0D"/>
    <w:rsid w:val="008414B4"/>
    <w:rsid w:val="008441CC"/>
    <w:rsid w:val="0084420C"/>
    <w:rsid w:val="0084701F"/>
    <w:rsid w:val="00847577"/>
    <w:rsid w:val="00852557"/>
    <w:rsid w:val="00852AB9"/>
    <w:rsid w:val="00852B45"/>
    <w:rsid w:val="00852C18"/>
    <w:rsid w:val="00852DFE"/>
    <w:rsid w:val="00853B94"/>
    <w:rsid w:val="00854926"/>
    <w:rsid w:val="00855C5D"/>
    <w:rsid w:val="0085623C"/>
    <w:rsid w:val="00856D52"/>
    <w:rsid w:val="00856D61"/>
    <w:rsid w:val="0085715D"/>
    <w:rsid w:val="00860FB3"/>
    <w:rsid w:val="008615E9"/>
    <w:rsid w:val="00861B54"/>
    <w:rsid w:val="008650FF"/>
    <w:rsid w:val="00870399"/>
    <w:rsid w:val="00870851"/>
    <w:rsid w:val="00870D58"/>
    <w:rsid w:val="00875B93"/>
    <w:rsid w:val="00875FDF"/>
    <w:rsid w:val="00880274"/>
    <w:rsid w:val="00880326"/>
    <w:rsid w:val="00882560"/>
    <w:rsid w:val="00884018"/>
    <w:rsid w:val="00884740"/>
    <w:rsid w:val="00885170"/>
    <w:rsid w:val="008851E0"/>
    <w:rsid w:val="00885B95"/>
    <w:rsid w:val="00886069"/>
    <w:rsid w:val="00887B01"/>
    <w:rsid w:val="00891E50"/>
    <w:rsid w:val="00892083"/>
    <w:rsid w:val="00892601"/>
    <w:rsid w:val="00893F10"/>
    <w:rsid w:val="0089517E"/>
    <w:rsid w:val="00895663"/>
    <w:rsid w:val="0089581F"/>
    <w:rsid w:val="00895A44"/>
    <w:rsid w:val="008961CB"/>
    <w:rsid w:val="0089771C"/>
    <w:rsid w:val="00897804"/>
    <w:rsid w:val="00897B2A"/>
    <w:rsid w:val="008A1412"/>
    <w:rsid w:val="008A1807"/>
    <w:rsid w:val="008A4B8B"/>
    <w:rsid w:val="008A4F85"/>
    <w:rsid w:val="008A5C7B"/>
    <w:rsid w:val="008B0087"/>
    <w:rsid w:val="008B02AE"/>
    <w:rsid w:val="008B0767"/>
    <w:rsid w:val="008B0ACB"/>
    <w:rsid w:val="008B1320"/>
    <w:rsid w:val="008B1CE6"/>
    <w:rsid w:val="008B35A4"/>
    <w:rsid w:val="008B3CB4"/>
    <w:rsid w:val="008B3CC1"/>
    <w:rsid w:val="008B3CF0"/>
    <w:rsid w:val="008B3DA2"/>
    <w:rsid w:val="008B54BE"/>
    <w:rsid w:val="008C05B2"/>
    <w:rsid w:val="008C0D57"/>
    <w:rsid w:val="008C2CAD"/>
    <w:rsid w:val="008C36C2"/>
    <w:rsid w:val="008C444B"/>
    <w:rsid w:val="008C5027"/>
    <w:rsid w:val="008C50F4"/>
    <w:rsid w:val="008D1191"/>
    <w:rsid w:val="008D1BAE"/>
    <w:rsid w:val="008D1F10"/>
    <w:rsid w:val="008D2A0F"/>
    <w:rsid w:val="008D2D46"/>
    <w:rsid w:val="008D30F3"/>
    <w:rsid w:val="008D3956"/>
    <w:rsid w:val="008D3B4A"/>
    <w:rsid w:val="008D432F"/>
    <w:rsid w:val="008D4F1A"/>
    <w:rsid w:val="008D5AD5"/>
    <w:rsid w:val="008D6870"/>
    <w:rsid w:val="008D7256"/>
    <w:rsid w:val="008E1E92"/>
    <w:rsid w:val="008E25BC"/>
    <w:rsid w:val="008E2B3B"/>
    <w:rsid w:val="008E2D06"/>
    <w:rsid w:val="008E3EC1"/>
    <w:rsid w:val="008E49D7"/>
    <w:rsid w:val="008E6266"/>
    <w:rsid w:val="008E7DF5"/>
    <w:rsid w:val="008F2403"/>
    <w:rsid w:val="008F30DE"/>
    <w:rsid w:val="008F36D3"/>
    <w:rsid w:val="008F5FBE"/>
    <w:rsid w:val="008F7B3E"/>
    <w:rsid w:val="00900281"/>
    <w:rsid w:val="0090046B"/>
    <w:rsid w:val="00900D30"/>
    <w:rsid w:val="00901C08"/>
    <w:rsid w:val="00902385"/>
    <w:rsid w:val="00902B9F"/>
    <w:rsid w:val="009037CD"/>
    <w:rsid w:val="00904E9D"/>
    <w:rsid w:val="00905456"/>
    <w:rsid w:val="00905B51"/>
    <w:rsid w:val="00905F55"/>
    <w:rsid w:val="00906E58"/>
    <w:rsid w:val="00907111"/>
    <w:rsid w:val="00910318"/>
    <w:rsid w:val="00910EEE"/>
    <w:rsid w:val="0091183C"/>
    <w:rsid w:val="0091264D"/>
    <w:rsid w:val="00915070"/>
    <w:rsid w:val="00916559"/>
    <w:rsid w:val="00920752"/>
    <w:rsid w:val="0092110A"/>
    <w:rsid w:val="00921616"/>
    <w:rsid w:val="00922081"/>
    <w:rsid w:val="00922744"/>
    <w:rsid w:val="00923ECE"/>
    <w:rsid w:val="009244EB"/>
    <w:rsid w:val="009249A8"/>
    <w:rsid w:val="00925F1A"/>
    <w:rsid w:val="00926274"/>
    <w:rsid w:val="00926338"/>
    <w:rsid w:val="00927C2D"/>
    <w:rsid w:val="00933075"/>
    <w:rsid w:val="00933DAA"/>
    <w:rsid w:val="00934D8E"/>
    <w:rsid w:val="00936F33"/>
    <w:rsid w:val="00940DEE"/>
    <w:rsid w:val="00941A7F"/>
    <w:rsid w:val="009439F2"/>
    <w:rsid w:val="00943D87"/>
    <w:rsid w:val="00944088"/>
    <w:rsid w:val="00944B8D"/>
    <w:rsid w:val="009459B3"/>
    <w:rsid w:val="00947305"/>
    <w:rsid w:val="00947BC8"/>
    <w:rsid w:val="009504F9"/>
    <w:rsid w:val="00952ECE"/>
    <w:rsid w:val="009539B9"/>
    <w:rsid w:val="00953A95"/>
    <w:rsid w:val="0095592E"/>
    <w:rsid w:val="00956FD4"/>
    <w:rsid w:val="00957E44"/>
    <w:rsid w:val="009613F9"/>
    <w:rsid w:val="00961490"/>
    <w:rsid w:val="00962658"/>
    <w:rsid w:val="00962808"/>
    <w:rsid w:val="009629E2"/>
    <w:rsid w:val="00964110"/>
    <w:rsid w:val="00964648"/>
    <w:rsid w:val="00964DE4"/>
    <w:rsid w:val="009653B2"/>
    <w:rsid w:val="00966425"/>
    <w:rsid w:val="0097000A"/>
    <w:rsid w:val="009703C5"/>
    <w:rsid w:val="00971DC3"/>
    <w:rsid w:val="00972AD9"/>
    <w:rsid w:val="00973EC3"/>
    <w:rsid w:val="009741AF"/>
    <w:rsid w:val="00976F0F"/>
    <w:rsid w:val="009775BB"/>
    <w:rsid w:val="00982AD7"/>
    <w:rsid w:val="00983EDA"/>
    <w:rsid w:val="009856FE"/>
    <w:rsid w:val="00985ACD"/>
    <w:rsid w:val="00985F9A"/>
    <w:rsid w:val="00986626"/>
    <w:rsid w:val="00986A53"/>
    <w:rsid w:val="00986C9D"/>
    <w:rsid w:val="00987445"/>
    <w:rsid w:val="00991663"/>
    <w:rsid w:val="00993617"/>
    <w:rsid w:val="00994744"/>
    <w:rsid w:val="009A0ADB"/>
    <w:rsid w:val="009A147B"/>
    <w:rsid w:val="009A1AFB"/>
    <w:rsid w:val="009A275F"/>
    <w:rsid w:val="009A2B5A"/>
    <w:rsid w:val="009A3622"/>
    <w:rsid w:val="009A403A"/>
    <w:rsid w:val="009A5A8D"/>
    <w:rsid w:val="009A6884"/>
    <w:rsid w:val="009A6FAB"/>
    <w:rsid w:val="009A708B"/>
    <w:rsid w:val="009A7C2F"/>
    <w:rsid w:val="009B4316"/>
    <w:rsid w:val="009B542E"/>
    <w:rsid w:val="009B73D8"/>
    <w:rsid w:val="009B7A04"/>
    <w:rsid w:val="009C4777"/>
    <w:rsid w:val="009C664B"/>
    <w:rsid w:val="009C7513"/>
    <w:rsid w:val="009D0153"/>
    <w:rsid w:val="009D0A9C"/>
    <w:rsid w:val="009D2824"/>
    <w:rsid w:val="009D31BD"/>
    <w:rsid w:val="009D3499"/>
    <w:rsid w:val="009D3FA5"/>
    <w:rsid w:val="009D4270"/>
    <w:rsid w:val="009D4F92"/>
    <w:rsid w:val="009D5B9B"/>
    <w:rsid w:val="009D7A81"/>
    <w:rsid w:val="009E0FB2"/>
    <w:rsid w:val="009E1A9A"/>
    <w:rsid w:val="009E2E3D"/>
    <w:rsid w:val="009E4267"/>
    <w:rsid w:val="009E4898"/>
    <w:rsid w:val="009E5BB4"/>
    <w:rsid w:val="009F0E1F"/>
    <w:rsid w:val="009F106C"/>
    <w:rsid w:val="009F1574"/>
    <w:rsid w:val="009F1C8C"/>
    <w:rsid w:val="009F349E"/>
    <w:rsid w:val="00A01D99"/>
    <w:rsid w:val="00A0213C"/>
    <w:rsid w:val="00A02526"/>
    <w:rsid w:val="00A02E95"/>
    <w:rsid w:val="00A0323C"/>
    <w:rsid w:val="00A03EDF"/>
    <w:rsid w:val="00A05534"/>
    <w:rsid w:val="00A07074"/>
    <w:rsid w:val="00A105B2"/>
    <w:rsid w:val="00A11E98"/>
    <w:rsid w:val="00A148A3"/>
    <w:rsid w:val="00A14DB6"/>
    <w:rsid w:val="00A1622C"/>
    <w:rsid w:val="00A214FD"/>
    <w:rsid w:val="00A21FA6"/>
    <w:rsid w:val="00A2269E"/>
    <w:rsid w:val="00A243CF"/>
    <w:rsid w:val="00A243E1"/>
    <w:rsid w:val="00A25050"/>
    <w:rsid w:val="00A25586"/>
    <w:rsid w:val="00A268D9"/>
    <w:rsid w:val="00A26C6B"/>
    <w:rsid w:val="00A26D94"/>
    <w:rsid w:val="00A26DDE"/>
    <w:rsid w:val="00A26EC7"/>
    <w:rsid w:val="00A270E0"/>
    <w:rsid w:val="00A31A23"/>
    <w:rsid w:val="00A32360"/>
    <w:rsid w:val="00A34203"/>
    <w:rsid w:val="00A345B1"/>
    <w:rsid w:val="00A34717"/>
    <w:rsid w:val="00A352FA"/>
    <w:rsid w:val="00A3588F"/>
    <w:rsid w:val="00A35F09"/>
    <w:rsid w:val="00A3783D"/>
    <w:rsid w:val="00A37853"/>
    <w:rsid w:val="00A4027F"/>
    <w:rsid w:val="00A4194C"/>
    <w:rsid w:val="00A42098"/>
    <w:rsid w:val="00A43831"/>
    <w:rsid w:val="00A4427E"/>
    <w:rsid w:val="00A44904"/>
    <w:rsid w:val="00A45A45"/>
    <w:rsid w:val="00A46E5A"/>
    <w:rsid w:val="00A4755C"/>
    <w:rsid w:val="00A52CE0"/>
    <w:rsid w:val="00A5437A"/>
    <w:rsid w:val="00A54552"/>
    <w:rsid w:val="00A54D3A"/>
    <w:rsid w:val="00A56277"/>
    <w:rsid w:val="00A56485"/>
    <w:rsid w:val="00A57594"/>
    <w:rsid w:val="00A63B51"/>
    <w:rsid w:val="00A6429C"/>
    <w:rsid w:val="00A6466F"/>
    <w:rsid w:val="00A66076"/>
    <w:rsid w:val="00A667B9"/>
    <w:rsid w:val="00A66BCC"/>
    <w:rsid w:val="00A66FF6"/>
    <w:rsid w:val="00A67DB4"/>
    <w:rsid w:val="00A70C73"/>
    <w:rsid w:val="00A72EC1"/>
    <w:rsid w:val="00A73EF5"/>
    <w:rsid w:val="00A750BA"/>
    <w:rsid w:val="00A7643D"/>
    <w:rsid w:val="00A769FE"/>
    <w:rsid w:val="00A77DF5"/>
    <w:rsid w:val="00A80336"/>
    <w:rsid w:val="00A80A1B"/>
    <w:rsid w:val="00A80B21"/>
    <w:rsid w:val="00A83266"/>
    <w:rsid w:val="00A84451"/>
    <w:rsid w:val="00A85236"/>
    <w:rsid w:val="00A8605A"/>
    <w:rsid w:val="00A86683"/>
    <w:rsid w:val="00A87376"/>
    <w:rsid w:val="00A91503"/>
    <w:rsid w:val="00A919AD"/>
    <w:rsid w:val="00A9743E"/>
    <w:rsid w:val="00AA07FE"/>
    <w:rsid w:val="00AA1086"/>
    <w:rsid w:val="00AA1776"/>
    <w:rsid w:val="00AA2C54"/>
    <w:rsid w:val="00AA531C"/>
    <w:rsid w:val="00AA68C5"/>
    <w:rsid w:val="00AB134F"/>
    <w:rsid w:val="00AB2CA4"/>
    <w:rsid w:val="00AB4DF6"/>
    <w:rsid w:val="00AB65C9"/>
    <w:rsid w:val="00AB6DAF"/>
    <w:rsid w:val="00AB7A70"/>
    <w:rsid w:val="00AB7ED5"/>
    <w:rsid w:val="00AC0647"/>
    <w:rsid w:val="00AC13A3"/>
    <w:rsid w:val="00AC150F"/>
    <w:rsid w:val="00AC3875"/>
    <w:rsid w:val="00AC3F0F"/>
    <w:rsid w:val="00AC4996"/>
    <w:rsid w:val="00AC71AC"/>
    <w:rsid w:val="00AD08A8"/>
    <w:rsid w:val="00AD1123"/>
    <w:rsid w:val="00AD1ACD"/>
    <w:rsid w:val="00AD1D0C"/>
    <w:rsid w:val="00AD2043"/>
    <w:rsid w:val="00AD4EF2"/>
    <w:rsid w:val="00AD5E96"/>
    <w:rsid w:val="00AD6A3B"/>
    <w:rsid w:val="00AD7527"/>
    <w:rsid w:val="00AE0405"/>
    <w:rsid w:val="00AE073E"/>
    <w:rsid w:val="00AE148F"/>
    <w:rsid w:val="00AE15A1"/>
    <w:rsid w:val="00AE1D4E"/>
    <w:rsid w:val="00AE21BE"/>
    <w:rsid w:val="00AE28C5"/>
    <w:rsid w:val="00AE2C26"/>
    <w:rsid w:val="00AE3031"/>
    <w:rsid w:val="00AE32B4"/>
    <w:rsid w:val="00AE37CC"/>
    <w:rsid w:val="00AE42EA"/>
    <w:rsid w:val="00AE508D"/>
    <w:rsid w:val="00AE57B8"/>
    <w:rsid w:val="00AE5AD4"/>
    <w:rsid w:val="00AE6F42"/>
    <w:rsid w:val="00AF1200"/>
    <w:rsid w:val="00AF200C"/>
    <w:rsid w:val="00AF37F9"/>
    <w:rsid w:val="00AF49E8"/>
    <w:rsid w:val="00AF4EAE"/>
    <w:rsid w:val="00AF503B"/>
    <w:rsid w:val="00AF5947"/>
    <w:rsid w:val="00AF5DFD"/>
    <w:rsid w:val="00AF6C99"/>
    <w:rsid w:val="00AF7033"/>
    <w:rsid w:val="00AF73DC"/>
    <w:rsid w:val="00B00B0F"/>
    <w:rsid w:val="00B013E9"/>
    <w:rsid w:val="00B0238B"/>
    <w:rsid w:val="00B04C2D"/>
    <w:rsid w:val="00B053F8"/>
    <w:rsid w:val="00B058C8"/>
    <w:rsid w:val="00B05D64"/>
    <w:rsid w:val="00B06031"/>
    <w:rsid w:val="00B06692"/>
    <w:rsid w:val="00B10855"/>
    <w:rsid w:val="00B11152"/>
    <w:rsid w:val="00B11CB7"/>
    <w:rsid w:val="00B12FDB"/>
    <w:rsid w:val="00B136FC"/>
    <w:rsid w:val="00B138AD"/>
    <w:rsid w:val="00B20CC0"/>
    <w:rsid w:val="00B22461"/>
    <w:rsid w:val="00B225F2"/>
    <w:rsid w:val="00B235F6"/>
    <w:rsid w:val="00B242ED"/>
    <w:rsid w:val="00B2430A"/>
    <w:rsid w:val="00B264A3"/>
    <w:rsid w:val="00B33750"/>
    <w:rsid w:val="00B34951"/>
    <w:rsid w:val="00B34C6A"/>
    <w:rsid w:val="00B36D56"/>
    <w:rsid w:val="00B410A8"/>
    <w:rsid w:val="00B452DF"/>
    <w:rsid w:val="00B454BF"/>
    <w:rsid w:val="00B45543"/>
    <w:rsid w:val="00B47F81"/>
    <w:rsid w:val="00B50313"/>
    <w:rsid w:val="00B50384"/>
    <w:rsid w:val="00B54CAE"/>
    <w:rsid w:val="00B56E96"/>
    <w:rsid w:val="00B603DD"/>
    <w:rsid w:val="00B609AB"/>
    <w:rsid w:val="00B63348"/>
    <w:rsid w:val="00B63CB2"/>
    <w:rsid w:val="00B640CF"/>
    <w:rsid w:val="00B660CB"/>
    <w:rsid w:val="00B6619C"/>
    <w:rsid w:val="00B668F2"/>
    <w:rsid w:val="00B669D7"/>
    <w:rsid w:val="00B67738"/>
    <w:rsid w:val="00B67ED6"/>
    <w:rsid w:val="00B70804"/>
    <w:rsid w:val="00B70BE6"/>
    <w:rsid w:val="00B71374"/>
    <w:rsid w:val="00B73490"/>
    <w:rsid w:val="00B73C7C"/>
    <w:rsid w:val="00B73F4A"/>
    <w:rsid w:val="00B74DED"/>
    <w:rsid w:val="00B75D58"/>
    <w:rsid w:val="00B75ED7"/>
    <w:rsid w:val="00B76E0C"/>
    <w:rsid w:val="00B774C3"/>
    <w:rsid w:val="00B8057E"/>
    <w:rsid w:val="00B81839"/>
    <w:rsid w:val="00B82720"/>
    <w:rsid w:val="00B82EE5"/>
    <w:rsid w:val="00B83804"/>
    <w:rsid w:val="00B854E7"/>
    <w:rsid w:val="00B85C23"/>
    <w:rsid w:val="00B85D10"/>
    <w:rsid w:val="00B877C3"/>
    <w:rsid w:val="00B87AD1"/>
    <w:rsid w:val="00B906F0"/>
    <w:rsid w:val="00B90E02"/>
    <w:rsid w:val="00B93557"/>
    <w:rsid w:val="00B93F81"/>
    <w:rsid w:val="00B94717"/>
    <w:rsid w:val="00B94A1B"/>
    <w:rsid w:val="00B95F25"/>
    <w:rsid w:val="00B96227"/>
    <w:rsid w:val="00BA090C"/>
    <w:rsid w:val="00BA33BA"/>
    <w:rsid w:val="00BA41E1"/>
    <w:rsid w:val="00BA4F91"/>
    <w:rsid w:val="00BA7749"/>
    <w:rsid w:val="00BA7998"/>
    <w:rsid w:val="00BB1440"/>
    <w:rsid w:val="00BB1BB7"/>
    <w:rsid w:val="00BB1E3B"/>
    <w:rsid w:val="00BB34DC"/>
    <w:rsid w:val="00BB6AB5"/>
    <w:rsid w:val="00BC06F4"/>
    <w:rsid w:val="00BC255B"/>
    <w:rsid w:val="00BC5062"/>
    <w:rsid w:val="00BC5C7F"/>
    <w:rsid w:val="00BC5F58"/>
    <w:rsid w:val="00BC6C3B"/>
    <w:rsid w:val="00BC6F75"/>
    <w:rsid w:val="00BC7159"/>
    <w:rsid w:val="00BD0CC1"/>
    <w:rsid w:val="00BD1D0A"/>
    <w:rsid w:val="00BD2221"/>
    <w:rsid w:val="00BD22B6"/>
    <w:rsid w:val="00BD389A"/>
    <w:rsid w:val="00BD4776"/>
    <w:rsid w:val="00BD4F42"/>
    <w:rsid w:val="00BD7947"/>
    <w:rsid w:val="00BE0FC1"/>
    <w:rsid w:val="00BE3C15"/>
    <w:rsid w:val="00BE5406"/>
    <w:rsid w:val="00BE5C10"/>
    <w:rsid w:val="00BE6DEC"/>
    <w:rsid w:val="00BE7065"/>
    <w:rsid w:val="00BF2392"/>
    <w:rsid w:val="00BF2EAC"/>
    <w:rsid w:val="00BF3334"/>
    <w:rsid w:val="00BF5A05"/>
    <w:rsid w:val="00BF7C93"/>
    <w:rsid w:val="00C00468"/>
    <w:rsid w:val="00C021DF"/>
    <w:rsid w:val="00C03F59"/>
    <w:rsid w:val="00C04590"/>
    <w:rsid w:val="00C04C0E"/>
    <w:rsid w:val="00C052B7"/>
    <w:rsid w:val="00C052BA"/>
    <w:rsid w:val="00C053FA"/>
    <w:rsid w:val="00C06FE8"/>
    <w:rsid w:val="00C10E5E"/>
    <w:rsid w:val="00C11ED5"/>
    <w:rsid w:val="00C12C2C"/>
    <w:rsid w:val="00C15089"/>
    <w:rsid w:val="00C15339"/>
    <w:rsid w:val="00C171DD"/>
    <w:rsid w:val="00C17DA2"/>
    <w:rsid w:val="00C2053E"/>
    <w:rsid w:val="00C205B9"/>
    <w:rsid w:val="00C20FD7"/>
    <w:rsid w:val="00C2413D"/>
    <w:rsid w:val="00C249F3"/>
    <w:rsid w:val="00C25AF5"/>
    <w:rsid w:val="00C2611B"/>
    <w:rsid w:val="00C261BE"/>
    <w:rsid w:val="00C272BE"/>
    <w:rsid w:val="00C27619"/>
    <w:rsid w:val="00C2784C"/>
    <w:rsid w:val="00C30C83"/>
    <w:rsid w:val="00C31672"/>
    <w:rsid w:val="00C33005"/>
    <w:rsid w:val="00C33ED6"/>
    <w:rsid w:val="00C3520D"/>
    <w:rsid w:val="00C353AE"/>
    <w:rsid w:val="00C353C5"/>
    <w:rsid w:val="00C403A1"/>
    <w:rsid w:val="00C4055F"/>
    <w:rsid w:val="00C4086C"/>
    <w:rsid w:val="00C40AB3"/>
    <w:rsid w:val="00C4157E"/>
    <w:rsid w:val="00C41DBA"/>
    <w:rsid w:val="00C43FEC"/>
    <w:rsid w:val="00C44654"/>
    <w:rsid w:val="00C50A1F"/>
    <w:rsid w:val="00C50E1E"/>
    <w:rsid w:val="00C51A20"/>
    <w:rsid w:val="00C538DC"/>
    <w:rsid w:val="00C54324"/>
    <w:rsid w:val="00C549EE"/>
    <w:rsid w:val="00C5521E"/>
    <w:rsid w:val="00C603E1"/>
    <w:rsid w:val="00C6389F"/>
    <w:rsid w:val="00C63BE3"/>
    <w:rsid w:val="00C6451A"/>
    <w:rsid w:val="00C6475E"/>
    <w:rsid w:val="00C647A0"/>
    <w:rsid w:val="00C67D75"/>
    <w:rsid w:val="00C67E97"/>
    <w:rsid w:val="00C70F66"/>
    <w:rsid w:val="00C71628"/>
    <w:rsid w:val="00C7315E"/>
    <w:rsid w:val="00C73BD1"/>
    <w:rsid w:val="00C751A6"/>
    <w:rsid w:val="00C75813"/>
    <w:rsid w:val="00C76606"/>
    <w:rsid w:val="00C7671F"/>
    <w:rsid w:val="00C77B75"/>
    <w:rsid w:val="00C811E4"/>
    <w:rsid w:val="00C817CF"/>
    <w:rsid w:val="00C82369"/>
    <w:rsid w:val="00C83B31"/>
    <w:rsid w:val="00C841ED"/>
    <w:rsid w:val="00C84313"/>
    <w:rsid w:val="00C86B0B"/>
    <w:rsid w:val="00C86BA7"/>
    <w:rsid w:val="00C878CA"/>
    <w:rsid w:val="00C879FC"/>
    <w:rsid w:val="00C87A65"/>
    <w:rsid w:val="00C87E1C"/>
    <w:rsid w:val="00C9250E"/>
    <w:rsid w:val="00C92F21"/>
    <w:rsid w:val="00C94705"/>
    <w:rsid w:val="00C947CD"/>
    <w:rsid w:val="00C96BAF"/>
    <w:rsid w:val="00CA0356"/>
    <w:rsid w:val="00CA20E2"/>
    <w:rsid w:val="00CA297D"/>
    <w:rsid w:val="00CA42A6"/>
    <w:rsid w:val="00CA63F9"/>
    <w:rsid w:val="00CA6848"/>
    <w:rsid w:val="00CA7800"/>
    <w:rsid w:val="00CB46EB"/>
    <w:rsid w:val="00CB5683"/>
    <w:rsid w:val="00CC087F"/>
    <w:rsid w:val="00CC102F"/>
    <w:rsid w:val="00CC2BD1"/>
    <w:rsid w:val="00CC3A51"/>
    <w:rsid w:val="00CC4BA6"/>
    <w:rsid w:val="00CD14D6"/>
    <w:rsid w:val="00CD2302"/>
    <w:rsid w:val="00CD44C9"/>
    <w:rsid w:val="00CD4DF9"/>
    <w:rsid w:val="00CE1F3B"/>
    <w:rsid w:val="00CE3673"/>
    <w:rsid w:val="00CE7ABC"/>
    <w:rsid w:val="00CF0C94"/>
    <w:rsid w:val="00CF16C1"/>
    <w:rsid w:val="00CF1749"/>
    <w:rsid w:val="00CF35DD"/>
    <w:rsid w:val="00CF4BA8"/>
    <w:rsid w:val="00CF4C31"/>
    <w:rsid w:val="00D00CB9"/>
    <w:rsid w:val="00D00FE2"/>
    <w:rsid w:val="00D04714"/>
    <w:rsid w:val="00D05195"/>
    <w:rsid w:val="00D0530D"/>
    <w:rsid w:val="00D0738F"/>
    <w:rsid w:val="00D10FD3"/>
    <w:rsid w:val="00D11646"/>
    <w:rsid w:val="00D12664"/>
    <w:rsid w:val="00D145EA"/>
    <w:rsid w:val="00D15587"/>
    <w:rsid w:val="00D1735C"/>
    <w:rsid w:val="00D17F45"/>
    <w:rsid w:val="00D20647"/>
    <w:rsid w:val="00D22BF6"/>
    <w:rsid w:val="00D23128"/>
    <w:rsid w:val="00D2334E"/>
    <w:rsid w:val="00D23A25"/>
    <w:rsid w:val="00D252D5"/>
    <w:rsid w:val="00D25E74"/>
    <w:rsid w:val="00D26750"/>
    <w:rsid w:val="00D27033"/>
    <w:rsid w:val="00D27DDE"/>
    <w:rsid w:val="00D301DA"/>
    <w:rsid w:val="00D30AEE"/>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3A80"/>
    <w:rsid w:val="00D646A8"/>
    <w:rsid w:val="00D64902"/>
    <w:rsid w:val="00D65860"/>
    <w:rsid w:val="00D70E7C"/>
    <w:rsid w:val="00D716FB"/>
    <w:rsid w:val="00D71C1C"/>
    <w:rsid w:val="00D71E33"/>
    <w:rsid w:val="00D73C7D"/>
    <w:rsid w:val="00D73E35"/>
    <w:rsid w:val="00D74151"/>
    <w:rsid w:val="00D7487C"/>
    <w:rsid w:val="00D7629E"/>
    <w:rsid w:val="00D8014F"/>
    <w:rsid w:val="00D804CE"/>
    <w:rsid w:val="00D80D70"/>
    <w:rsid w:val="00D819DD"/>
    <w:rsid w:val="00D81B46"/>
    <w:rsid w:val="00D81B9A"/>
    <w:rsid w:val="00D823CB"/>
    <w:rsid w:val="00D82760"/>
    <w:rsid w:val="00D8354C"/>
    <w:rsid w:val="00D84DA1"/>
    <w:rsid w:val="00D85603"/>
    <w:rsid w:val="00D85BAC"/>
    <w:rsid w:val="00D85D41"/>
    <w:rsid w:val="00D900E4"/>
    <w:rsid w:val="00D90449"/>
    <w:rsid w:val="00D9364A"/>
    <w:rsid w:val="00D936AA"/>
    <w:rsid w:val="00D94733"/>
    <w:rsid w:val="00D9566C"/>
    <w:rsid w:val="00D95C35"/>
    <w:rsid w:val="00D972D0"/>
    <w:rsid w:val="00DA04AE"/>
    <w:rsid w:val="00DA1731"/>
    <w:rsid w:val="00DA2504"/>
    <w:rsid w:val="00DA29CD"/>
    <w:rsid w:val="00DA37D5"/>
    <w:rsid w:val="00DA408E"/>
    <w:rsid w:val="00DA71A8"/>
    <w:rsid w:val="00DA74A9"/>
    <w:rsid w:val="00DA797F"/>
    <w:rsid w:val="00DA7C72"/>
    <w:rsid w:val="00DB0CE4"/>
    <w:rsid w:val="00DB21F1"/>
    <w:rsid w:val="00DB2E6D"/>
    <w:rsid w:val="00DB3B04"/>
    <w:rsid w:val="00DB4A99"/>
    <w:rsid w:val="00DB53D8"/>
    <w:rsid w:val="00DB5977"/>
    <w:rsid w:val="00DB5A37"/>
    <w:rsid w:val="00DB5CC1"/>
    <w:rsid w:val="00DB6C57"/>
    <w:rsid w:val="00DB6E99"/>
    <w:rsid w:val="00DB70F1"/>
    <w:rsid w:val="00DC1AE9"/>
    <w:rsid w:val="00DC3060"/>
    <w:rsid w:val="00DC3BA3"/>
    <w:rsid w:val="00DC3DFA"/>
    <w:rsid w:val="00DC5BD6"/>
    <w:rsid w:val="00DD02AC"/>
    <w:rsid w:val="00DD0B60"/>
    <w:rsid w:val="00DD1094"/>
    <w:rsid w:val="00DD1649"/>
    <w:rsid w:val="00DD1A2F"/>
    <w:rsid w:val="00DD2D6C"/>
    <w:rsid w:val="00DD32DB"/>
    <w:rsid w:val="00DD3786"/>
    <w:rsid w:val="00DD47D8"/>
    <w:rsid w:val="00DD5316"/>
    <w:rsid w:val="00DD64C8"/>
    <w:rsid w:val="00DE286B"/>
    <w:rsid w:val="00DE2E87"/>
    <w:rsid w:val="00DE2FC9"/>
    <w:rsid w:val="00DE36B5"/>
    <w:rsid w:val="00DE3A8A"/>
    <w:rsid w:val="00DE3B4C"/>
    <w:rsid w:val="00DE426E"/>
    <w:rsid w:val="00DE42A7"/>
    <w:rsid w:val="00DE4D24"/>
    <w:rsid w:val="00DE5F2F"/>
    <w:rsid w:val="00DE622C"/>
    <w:rsid w:val="00DE64FC"/>
    <w:rsid w:val="00DE6F49"/>
    <w:rsid w:val="00DE7BA6"/>
    <w:rsid w:val="00DE7F3A"/>
    <w:rsid w:val="00DF042A"/>
    <w:rsid w:val="00DF04C3"/>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3830"/>
    <w:rsid w:val="00E041A3"/>
    <w:rsid w:val="00E05090"/>
    <w:rsid w:val="00E053A2"/>
    <w:rsid w:val="00E06B22"/>
    <w:rsid w:val="00E075D4"/>
    <w:rsid w:val="00E07653"/>
    <w:rsid w:val="00E1121A"/>
    <w:rsid w:val="00E11ED4"/>
    <w:rsid w:val="00E129FA"/>
    <w:rsid w:val="00E12E1C"/>
    <w:rsid w:val="00E15A60"/>
    <w:rsid w:val="00E15A6A"/>
    <w:rsid w:val="00E206A6"/>
    <w:rsid w:val="00E21614"/>
    <w:rsid w:val="00E218CB"/>
    <w:rsid w:val="00E22C6E"/>
    <w:rsid w:val="00E241CB"/>
    <w:rsid w:val="00E26600"/>
    <w:rsid w:val="00E26BDC"/>
    <w:rsid w:val="00E314E9"/>
    <w:rsid w:val="00E32280"/>
    <w:rsid w:val="00E33D2F"/>
    <w:rsid w:val="00E40358"/>
    <w:rsid w:val="00E40F0D"/>
    <w:rsid w:val="00E4204A"/>
    <w:rsid w:val="00E422EF"/>
    <w:rsid w:val="00E424E4"/>
    <w:rsid w:val="00E431E6"/>
    <w:rsid w:val="00E43D55"/>
    <w:rsid w:val="00E47529"/>
    <w:rsid w:val="00E4771E"/>
    <w:rsid w:val="00E50827"/>
    <w:rsid w:val="00E50D75"/>
    <w:rsid w:val="00E519C3"/>
    <w:rsid w:val="00E5407A"/>
    <w:rsid w:val="00E54F90"/>
    <w:rsid w:val="00E61558"/>
    <w:rsid w:val="00E625C1"/>
    <w:rsid w:val="00E6344C"/>
    <w:rsid w:val="00E6358C"/>
    <w:rsid w:val="00E65644"/>
    <w:rsid w:val="00E66F23"/>
    <w:rsid w:val="00E707A9"/>
    <w:rsid w:val="00E721BB"/>
    <w:rsid w:val="00E73C0C"/>
    <w:rsid w:val="00E746DB"/>
    <w:rsid w:val="00E747EF"/>
    <w:rsid w:val="00E74806"/>
    <w:rsid w:val="00E76005"/>
    <w:rsid w:val="00E7688D"/>
    <w:rsid w:val="00E77B18"/>
    <w:rsid w:val="00E77C92"/>
    <w:rsid w:val="00E80C45"/>
    <w:rsid w:val="00E82B80"/>
    <w:rsid w:val="00E83D8B"/>
    <w:rsid w:val="00E84942"/>
    <w:rsid w:val="00E84E8F"/>
    <w:rsid w:val="00E853DB"/>
    <w:rsid w:val="00E85692"/>
    <w:rsid w:val="00E87090"/>
    <w:rsid w:val="00E91C51"/>
    <w:rsid w:val="00E951AE"/>
    <w:rsid w:val="00E96B86"/>
    <w:rsid w:val="00E971C0"/>
    <w:rsid w:val="00EA308A"/>
    <w:rsid w:val="00EA4244"/>
    <w:rsid w:val="00EA59E3"/>
    <w:rsid w:val="00EA5D87"/>
    <w:rsid w:val="00EA6ACF"/>
    <w:rsid w:val="00EA75FE"/>
    <w:rsid w:val="00EA7D75"/>
    <w:rsid w:val="00EB0090"/>
    <w:rsid w:val="00EB11A1"/>
    <w:rsid w:val="00EB125C"/>
    <w:rsid w:val="00EB2211"/>
    <w:rsid w:val="00EB2A9C"/>
    <w:rsid w:val="00EB566D"/>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D5D14"/>
    <w:rsid w:val="00ED6CA5"/>
    <w:rsid w:val="00EE094F"/>
    <w:rsid w:val="00EE1ADF"/>
    <w:rsid w:val="00EE240D"/>
    <w:rsid w:val="00EE24DC"/>
    <w:rsid w:val="00EE2CD6"/>
    <w:rsid w:val="00EE2D63"/>
    <w:rsid w:val="00EE36C3"/>
    <w:rsid w:val="00EE48F7"/>
    <w:rsid w:val="00EE5F08"/>
    <w:rsid w:val="00EE62FD"/>
    <w:rsid w:val="00EE79C2"/>
    <w:rsid w:val="00EE7AFC"/>
    <w:rsid w:val="00EF00AE"/>
    <w:rsid w:val="00EF04E5"/>
    <w:rsid w:val="00EF0D48"/>
    <w:rsid w:val="00EF10B6"/>
    <w:rsid w:val="00EF2EBA"/>
    <w:rsid w:val="00EF3B0F"/>
    <w:rsid w:val="00EF4617"/>
    <w:rsid w:val="00EF72D8"/>
    <w:rsid w:val="00F00567"/>
    <w:rsid w:val="00F0124C"/>
    <w:rsid w:val="00F01567"/>
    <w:rsid w:val="00F01B87"/>
    <w:rsid w:val="00F03322"/>
    <w:rsid w:val="00F03DB3"/>
    <w:rsid w:val="00F04DEC"/>
    <w:rsid w:val="00F04DFF"/>
    <w:rsid w:val="00F0556D"/>
    <w:rsid w:val="00F06F41"/>
    <w:rsid w:val="00F07201"/>
    <w:rsid w:val="00F143AB"/>
    <w:rsid w:val="00F14DF6"/>
    <w:rsid w:val="00F15211"/>
    <w:rsid w:val="00F153EA"/>
    <w:rsid w:val="00F1644D"/>
    <w:rsid w:val="00F20301"/>
    <w:rsid w:val="00F206D5"/>
    <w:rsid w:val="00F2139F"/>
    <w:rsid w:val="00F21D72"/>
    <w:rsid w:val="00F23EA7"/>
    <w:rsid w:val="00F24919"/>
    <w:rsid w:val="00F24EA2"/>
    <w:rsid w:val="00F2504B"/>
    <w:rsid w:val="00F2506A"/>
    <w:rsid w:val="00F26715"/>
    <w:rsid w:val="00F27159"/>
    <w:rsid w:val="00F310AB"/>
    <w:rsid w:val="00F32E1D"/>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418"/>
    <w:rsid w:val="00F466AB"/>
    <w:rsid w:val="00F479E3"/>
    <w:rsid w:val="00F50699"/>
    <w:rsid w:val="00F50B59"/>
    <w:rsid w:val="00F52980"/>
    <w:rsid w:val="00F53094"/>
    <w:rsid w:val="00F53478"/>
    <w:rsid w:val="00F5354A"/>
    <w:rsid w:val="00F53ED4"/>
    <w:rsid w:val="00F548BE"/>
    <w:rsid w:val="00F54955"/>
    <w:rsid w:val="00F54C3D"/>
    <w:rsid w:val="00F57373"/>
    <w:rsid w:val="00F57C9F"/>
    <w:rsid w:val="00F61FD7"/>
    <w:rsid w:val="00F63AB9"/>
    <w:rsid w:val="00F660CF"/>
    <w:rsid w:val="00F6643F"/>
    <w:rsid w:val="00F67760"/>
    <w:rsid w:val="00F716DF"/>
    <w:rsid w:val="00F72747"/>
    <w:rsid w:val="00F73E54"/>
    <w:rsid w:val="00F750B1"/>
    <w:rsid w:val="00F7545C"/>
    <w:rsid w:val="00F763E8"/>
    <w:rsid w:val="00F771D3"/>
    <w:rsid w:val="00F81E7A"/>
    <w:rsid w:val="00F82177"/>
    <w:rsid w:val="00F82BFF"/>
    <w:rsid w:val="00F83C45"/>
    <w:rsid w:val="00F84055"/>
    <w:rsid w:val="00F841C6"/>
    <w:rsid w:val="00F84B8A"/>
    <w:rsid w:val="00F84FED"/>
    <w:rsid w:val="00F87514"/>
    <w:rsid w:val="00F90504"/>
    <w:rsid w:val="00F91DBB"/>
    <w:rsid w:val="00F95569"/>
    <w:rsid w:val="00FA27DE"/>
    <w:rsid w:val="00FA2F6E"/>
    <w:rsid w:val="00FA66D6"/>
    <w:rsid w:val="00FB0D4F"/>
    <w:rsid w:val="00FB11C3"/>
    <w:rsid w:val="00FB1428"/>
    <w:rsid w:val="00FB6E97"/>
    <w:rsid w:val="00FC12F1"/>
    <w:rsid w:val="00FC2213"/>
    <w:rsid w:val="00FC2EDF"/>
    <w:rsid w:val="00FC33E2"/>
    <w:rsid w:val="00FC351B"/>
    <w:rsid w:val="00FC39E4"/>
    <w:rsid w:val="00FC3B5E"/>
    <w:rsid w:val="00FC4618"/>
    <w:rsid w:val="00FC4837"/>
    <w:rsid w:val="00FC4A77"/>
    <w:rsid w:val="00FC4C9A"/>
    <w:rsid w:val="00FC524D"/>
    <w:rsid w:val="00FC66B9"/>
    <w:rsid w:val="00FC6A3F"/>
    <w:rsid w:val="00FC707C"/>
    <w:rsid w:val="00FC7238"/>
    <w:rsid w:val="00FD1F2E"/>
    <w:rsid w:val="00FD23AA"/>
    <w:rsid w:val="00FD3634"/>
    <w:rsid w:val="00FD3ADB"/>
    <w:rsid w:val="00FD513B"/>
    <w:rsid w:val="00FD57D1"/>
    <w:rsid w:val="00FD7B8B"/>
    <w:rsid w:val="00FE008F"/>
    <w:rsid w:val="00FE21A9"/>
    <w:rsid w:val="00FE4667"/>
    <w:rsid w:val="00FE5C52"/>
    <w:rsid w:val="00FF07C0"/>
    <w:rsid w:val="00FF2338"/>
    <w:rsid w:val="00FF3423"/>
    <w:rsid w:val="00FF519E"/>
    <w:rsid w:val="00FF739B"/>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85730">
      <o:colormenu v:ext="edit" strokecolor="none"/>
    </o:shapedefaults>
    <o:shapelayout v:ext="edit">
      <o:idmap v:ext="edit" data="1,9,97,40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 w:type="paragraph" w:customStyle="1" w:styleId="xl82">
    <w:name w:val="xl82"/>
    <w:basedOn w:val="Normal"/>
    <w:rsid w:val="006B253D"/>
    <w:pPr>
      <w:pBdr>
        <w:right w:val="single" w:sz="4" w:space="0" w:color="auto"/>
      </w:pBdr>
      <w:shd w:val="clear" w:color="000080" w:fill="FFFFFF"/>
      <w:spacing w:before="100" w:beforeAutospacing="1" w:after="100" w:afterAutospacing="1"/>
      <w:jc w:val="left"/>
    </w:pPr>
    <w:rPr>
      <w:rFonts w:ascii="Helvetica" w:eastAsia="Arial Unicode MS" w:hAnsi="Helvetica" w:cs="Arial Unicode MS"/>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142235231">
      <w:bodyDiv w:val="1"/>
      <w:marLeft w:val="0"/>
      <w:marRight w:val="0"/>
      <w:marTop w:val="0"/>
      <w:marBottom w:val="0"/>
      <w:divBdr>
        <w:top w:val="none" w:sz="0" w:space="0" w:color="auto"/>
        <w:left w:val="none" w:sz="0" w:space="0" w:color="auto"/>
        <w:bottom w:val="none" w:sz="0" w:space="0" w:color="auto"/>
        <w:right w:val="none" w:sz="0" w:space="0" w:color="auto"/>
      </w:divBdr>
    </w:div>
    <w:div w:id="229654666">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15233785">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452939714">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740375263">
      <w:bodyDiv w:val="1"/>
      <w:marLeft w:val="0"/>
      <w:marRight w:val="0"/>
      <w:marTop w:val="0"/>
      <w:marBottom w:val="0"/>
      <w:divBdr>
        <w:top w:val="none" w:sz="0" w:space="0" w:color="auto"/>
        <w:left w:val="none" w:sz="0" w:space="0" w:color="auto"/>
        <w:bottom w:val="none" w:sz="0" w:space="0" w:color="auto"/>
        <w:right w:val="none" w:sz="0" w:space="0" w:color="auto"/>
      </w:divBdr>
    </w:div>
    <w:div w:id="745299775">
      <w:bodyDiv w:val="1"/>
      <w:marLeft w:val="0"/>
      <w:marRight w:val="0"/>
      <w:marTop w:val="0"/>
      <w:marBottom w:val="0"/>
      <w:divBdr>
        <w:top w:val="none" w:sz="0" w:space="0" w:color="auto"/>
        <w:left w:val="none" w:sz="0" w:space="0" w:color="auto"/>
        <w:bottom w:val="none" w:sz="0" w:space="0" w:color="auto"/>
        <w:right w:val="none" w:sz="0" w:space="0" w:color="auto"/>
      </w:divBdr>
    </w:div>
    <w:div w:id="912159422">
      <w:bodyDiv w:val="1"/>
      <w:marLeft w:val="0"/>
      <w:marRight w:val="0"/>
      <w:marTop w:val="0"/>
      <w:marBottom w:val="0"/>
      <w:divBdr>
        <w:top w:val="none" w:sz="0" w:space="0" w:color="auto"/>
        <w:left w:val="none" w:sz="0" w:space="0" w:color="auto"/>
        <w:bottom w:val="none" w:sz="0" w:space="0" w:color="auto"/>
        <w:right w:val="none" w:sz="0" w:space="0" w:color="auto"/>
      </w:divBdr>
    </w:div>
    <w:div w:id="967858462">
      <w:bodyDiv w:val="1"/>
      <w:marLeft w:val="0"/>
      <w:marRight w:val="0"/>
      <w:marTop w:val="0"/>
      <w:marBottom w:val="0"/>
      <w:divBdr>
        <w:top w:val="none" w:sz="0" w:space="0" w:color="auto"/>
        <w:left w:val="none" w:sz="0" w:space="0" w:color="auto"/>
        <w:bottom w:val="none" w:sz="0" w:space="0" w:color="auto"/>
        <w:right w:val="none" w:sz="0" w:space="0" w:color="auto"/>
      </w:divBdr>
    </w:div>
    <w:div w:id="1058633217">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239360265">
      <w:bodyDiv w:val="1"/>
      <w:marLeft w:val="0"/>
      <w:marRight w:val="0"/>
      <w:marTop w:val="0"/>
      <w:marBottom w:val="0"/>
      <w:divBdr>
        <w:top w:val="none" w:sz="0" w:space="0" w:color="auto"/>
        <w:left w:val="none" w:sz="0" w:space="0" w:color="auto"/>
        <w:bottom w:val="none" w:sz="0" w:space="0" w:color="auto"/>
        <w:right w:val="none" w:sz="0" w:space="0" w:color="auto"/>
      </w:divBdr>
    </w:div>
    <w:div w:id="1291129050">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32893185">
      <w:bodyDiv w:val="1"/>
      <w:marLeft w:val="0"/>
      <w:marRight w:val="0"/>
      <w:marTop w:val="0"/>
      <w:marBottom w:val="0"/>
      <w:divBdr>
        <w:top w:val="none" w:sz="0" w:space="0" w:color="auto"/>
        <w:left w:val="none" w:sz="0" w:space="0" w:color="auto"/>
        <w:bottom w:val="none" w:sz="0" w:space="0" w:color="auto"/>
        <w:right w:val="none" w:sz="0" w:space="0" w:color="auto"/>
      </w:divBdr>
    </w:div>
    <w:div w:id="1451320625">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48022191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59394825">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681395671">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 w:id="2115319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117" Type="http://schemas.openxmlformats.org/officeDocument/2006/relationships/header" Target="header17.xml"/><Relationship Id="rId21" Type="http://schemas.openxmlformats.org/officeDocument/2006/relationships/footer" Target="footer4.xml"/><Relationship Id="rId42" Type="http://schemas.openxmlformats.org/officeDocument/2006/relationships/package" Target="embeddings/Hoja_de_c_lculo_de_Microsoft_Office_Excel5.xlsx"/><Relationship Id="rId47" Type="http://schemas.openxmlformats.org/officeDocument/2006/relationships/image" Target="media/image14.wmf"/><Relationship Id="rId63" Type="http://schemas.openxmlformats.org/officeDocument/2006/relationships/image" Target="media/image19.emf"/><Relationship Id="rId68" Type="http://schemas.openxmlformats.org/officeDocument/2006/relationships/package" Target="embeddings/Hoja_de_c_lculo_de_Microsoft_Office_Excel10.xlsx"/><Relationship Id="rId84" Type="http://schemas.openxmlformats.org/officeDocument/2006/relationships/image" Target="media/image25.emf"/><Relationship Id="rId89" Type="http://schemas.openxmlformats.org/officeDocument/2006/relationships/image" Target="media/image26.emf"/><Relationship Id="rId112" Type="http://schemas.openxmlformats.org/officeDocument/2006/relationships/package" Target="embeddings/Hoja_de_c_lculo_de_Microsoft_Office_Excel23.xlsx"/><Relationship Id="rId133" Type="http://schemas.openxmlformats.org/officeDocument/2006/relationships/header" Target="header24.xml"/><Relationship Id="rId138" Type="http://schemas.openxmlformats.org/officeDocument/2006/relationships/package" Target="embeddings/Hoja_de_c_lculo_de_Microsoft_Office_Excel29.xlsx"/><Relationship Id="rId154" Type="http://schemas.openxmlformats.org/officeDocument/2006/relationships/package" Target="embeddings/Hoja_de_c_lculo_de_Microsoft_Office_Excel33.xlsx"/><Relationship Id="rId159" Type="http://schemas.openxmlformats.org/officeDocument/2006/relationships/image" Target="media/image49.wmf"/><Relationship Id="rId175" Type="http://schemas.openxmlformats.org/officeDocument/2006/relationships/image" Target="media/image63.wmf"/><Relationship Id="rId170" Type="http://schemas.openxmlformats.org/officeDocument/2006/relationships/image" Target="media/image58.wmf"/><Relationship Id="rId16" Type="http://schemas.openxmlformats.org/officeDocument/2006/relationships/image" Target="media/image3.emf"/><Relationship Id="rId107" Type="http://schemas.openxmlformats.org/officeDocument/2006/relationships/image" Target="media/image35.emf"/><Relationship Id="rId11" Type="http://schemas.openxmlformats.org/officeDocument/2006/relationships/footer" Target="footer2.xml"/><Relationship Id="rId32" Type="http://schemas.openxmlformats.org/officeDocument/2006/relationships/image" Target="media/image7.emf"/><Relationship Id="rId37" Type="http://schemas.openxmlformats.org/officeDocument/2006/relationships/image" Target="media/image9.emf"/><Relationship Id="rId53" Type="http://schemas.openxmlformats.org/officeDocument/2006/relationships/image" Target="media/image16.emf"/><Relationship Id="rId58" Type="http://schemas.openxmlformats.org/officeDocument/2006/relationships/oleObject" Target="embeddings/Hoja_de_c_lculo_de_Microsoft_Office_Excel_97-20039.xls"/><Relationship Id="rId74" Type="http://schemas.openxmlformats.org/officeDocument/2006/relationships/package" Target="embeddings/Hoja_de_c_lculo_de_Microsoft_Office_Excel12.xlsx"/><Relationship Id="rId79" Type="http://schemas.openxmlformats.org/officeDocument/2006/relationships/footer" Target="footer15.xml"/><Relationship Id="rId102" Type="http://schemas.openxmlformats.org/officeDocument/2006/relationships/package" Target="embeddings/Hoja_de_c_lculo_de_Microsoft_Office_Excel19.xlsx"/><Relationship Id="rId123" Type="http://schemas.openxmlformats.org/officeDocument/2006/relationships/package" Target="embeddings/Hoja_de_c_lculo_de_Microsoft_Office_Excel27.xlsx"/><Relationship Id="rId128" Type="http://schemas.openxmlformats.org/officeDocument/2006/relationships/header" Target="header22.xml"/><Relationship Id="rId144" Type="http://schemas.openxmlformats.org/officeDocument/2006/relationships/package" Target="embeddings/Hoja_de_c_lculo_de_Microsoft_Office_Excel32.xlsx"/><Relationship Id="rId149" Type="http://schemas.openxmlformats.org/officeDocument/2006/relationships/header" Target="header26.xml"/><Relationship Id="rId5" Type="http://schemas.openxmlformats.org/officeDocument/2006/relationships/webSettings" Target="webSettings.xml"/><Relationship Id="rId90" Type="http://schemas.openxmlformats.org/officeDocument/2006/relationships/package" Target="embeddings/Hoja_de_c_lculo_de_Microsoft_Office_Excel13.xlsx"/><Relationship Id="rId95" Type="http://schemas.openxmlformats.org/officeDocument/2006/relationships/image" Target="media/image29.emf"/><Relationship Id="rId160" Type="http://schemas.openxmlformats.org/officeDocument/2006/relationships/image" Target="media/image50.wmf"/><Relationship Id="rId165" Type="http://schemas.openxmlformats.org/officeDocument/2006/relationships/image" Target="media/image53.wmf"/><Relationship Id="rId181" Type="http://schemas.openxmlformats.org/officeDocument/2006/relationships/image" Target="media/image66.emf"/><Relationship Id="rId22" Type="http://schemas.openxmlformats.org/officeDocument/2006/relationships/header" Target="header4.xml"/><Relationship Id="rId27" Type="http://schemas.openxmlformats.org/officeDocument/2006/relationships/oleObject" Target="embeddings/Hoja_de_c_lculo_de_Microsoft_Office_Excel_97-20033.xls"/><Relationship Id="rId43" Type="http://schemas.openxmlformats.org/officeDocument/2006/relationships/image" Target="media/image12.emf"/><Relationship Id="rId48" Type="http://schemas.openxmlformats.org/officeDocument/2006/relationships/oleObject" Target="embeddings/Hoja_de_c_lculo_de_Microsoft_Office_Excel_97-20036.xls"/><Relationship Id="rId64" Type="http://schemas.openxmlformats.org/officeDocument/2006/relationships/package" Target="embeddings/Hoja_de_c_lculo_de_Microsoft_Office_Excel8.xlsx"/><Relationship Id="rId69" Type="http://schemas.openxmlformats.org/officeDocument/2006/relationships/image" Target="media/image22.emf"/><Relationship Id="rId113" Type="http://schemas.openxmlformats.org/officeDocument/2006/relationships/image" Target="media/image37.emf"/><Relationship Id="rId118" Type="http://schemas.openxmlformats.org/officeDocument/2006/relationships/header" Target="header18.xml"/><Relationship Id="rId134" Type="http://schemas.openxmlformats.org/officeDocument/2006/relationships/footer" Target="footer25.xml"/><Relationship Id="rId139" Type="http://schemas.openxmlformats.org/officeDocument/2006/relationships/image" Target="media/image43.emf"/><Relationship Id="rId80" Type="http://schemas.openxmlformats.org/officeDocument/2006/relationships/header" Target="header14.xml"/><Relationship Id="rId85" Type="http://schemas.openxmlformats.org/officeDocument/2006/relationships/oleObject" Target="embeddings/Hoja_de_c_lculo_de_Microsoft_Office_Excel_97-200311.xls"/><Relationship Id="rId150" Type="http://schemas.openxmlformats.org/officeDocument/2006/relationships/footer" Target="footer27.xml"/><Relationship Id="rId155" Type="http://schemas.openxmlformats.org/officeDocument/2006/relationships/image" Target="media/image48.emf"/><Relationship Id="rId171" Type="http://schemas.openxmlformats.org/officeDocument/2006/relationships/image" Target="media/image59.wmf"/><Relationship Id="rId176" Type="http://schemas.openxmlformats.org/officeDocument/2006/relationships/header" Target="header30.xml"/><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oleObject" Target="embeddings/Hoja_de_c_lculo_de_Microsoft_Office_Excel_97-20034.xls"/><Relationship Id="rId38" Type="http://schemas.openxmlformats.org/officeDocument/2006/relationships/package" Target="embeddings/Hoja_de_c_lculo_de_Microsoft_Office_Excel3.xlsx"/><Relationship Id="rId59" Type="http://schemas.openxmlformats.org/officeDocument/2006/relationships/image" Target="media/image18.emf"/><Relationship Id="rId103" Type="http://schemas.openxmlformats.org/officeDocument/2006/relationships/image" Target="media/image33.emf"/><Relationship Id="rId108" Type="http://schemas.openxmlformats.org/officeDocument/2006/relationships/package" Target="embeddings/Hoja_de_c_lculo_de_Microsoft_Office_Excel22.xlsx"/><Relationship Id="rId124" Type="http://schemas.openxmlformats.org/officeDocument/2006/relationships/header" Target="header19.xml"/><Relationship Id="rId129" Type="http://schemas.openxmlformats.org/officeDocument/2006/relationships/footer" Target="footer22.xml"/><Relationship Id="rId54" Type="http://schemas.openxmlformats.org/officeDocument/2006/relationships/oleObject" Target="embeddings/Hoja_de_c_lculo_de_Microsoft_Office_Excel_97-20038.xls"/><Relationship Id="rId70" Type="http://schemas.openxmlformats.org/officeDocument/2006/relationships/package" Target="embeddings/Hoja_de_c_lculo_de_Microsoft_Office_Excel11.xlsx"/><Relationship Id="rId75" Type="http://schemas.openxmlformats.org/officeDocument/2006/relationships/header" Target="header12.xml"/><Relationship Id="rId91" Type="http://schemas.openxmlformats.org/officeDocument/2006/relationships/image" Target="media/image27.emf"/><Relationship Id="rId96" Type="http://schemas.openxmlformats.org/officeDocument/2006/relationships/package" Target="embeddings/Hoja_de_c_lculo_de_Microsoft_Office_Excel16.xlsx"/><Relationship Id="rId140" Type="http://schemas.openxmlformats.org/officeDocument/2006/relationships/package" Target="embeddings/Hoja_de_c_lculo_de_Microsoft_Office_Excel30.xlsx"/><Relationship Id="rId145" Type="http://schemas.openxmlformats.org/officeDocument/2006/relationships/image" Target="media/image46.emf"/><Relationship Id="rId161" Type="http://schemas.openxmlformats.org/officeDocument/2006/relationships/image" Target="media/image51.wmf"/><Relationship Id="rId166" Type="http://schemas.openxmlformats.org/officeDocument/2006/relationships/image" Target="media/image54.wmf"/><Relationship Id="rId182" Type="http://schemas.openxmlformats.org/officeDocument/2006/relationships/oleObject" Target="embeddings/Hoja_de_c_lculo_de_Microsoft_Office_Excel_97-200314.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5.xml"/><Relationship Id="rId49" Type="http://schemas.openxmlformats.org/officeDocument/2006/relationships/image" Target="media/image15.wmf"/><Relationship Id="rId114" Type="http://schemas.openxmlformats.org/officeDocument/2006/relationships/package" Target="embeddings/Hoja_de_c_lculo_de_Microsoft_Office_Excel24.xlsx"/><Relationship Id="rId119" Type="http://schemas.openxmlformats.org/officeDocument/2006/relationships/footer" Target="footer20.xml"/><Relationship Id="rId44" Type="http://schemas.openxmlformats.org/officeDocument/2006/relationships/package" Target="embeddings/Hoja_de_c_lculo_de_Microsoft_Office_Excel6.xlsx"/><Relationship Id="rId60" Type="http://schemas.openxmlformats.org/officeDocument/2006/relationships/package" Target="embeddings/Hoja_de_c_lculo_de_Microsoft_Office_Excel7.xlsx"/><Relationship Id="rId65" Type="http://schemas.openxmlformats.org/officeDocument/2006/relationships/image" Target="media/image20.emf"/><Relationship Id="rId81" Type="http://schemas.openxmlformats.org/officeDocument/2006/relationships/footer" Target="footer16.xml"/><Relationship Id="rId86" Type="http://schemas.openxmlformats.org/officeDocument/2006/relationships/header" Target="header15.xml"/><Relationship Id="rId130" Type="http://schemas.openxmlformats.org/officeDocument/2006/relationships/footer" Target="footer23.xml"/><Relationship Id="rId135" Type="http://schemas.openxmlformats.org/officeDocument/2006/relationships/image" Target="media/image41.emf"/><Relationship Id="rId151" Type="http://schemas.openxmlformats.org/officeDocument/2006/relationships/header" Target="header27.xml"/><Relationship Id="rId156" Type="http://schemas.openxmlformats.org/officeDocument/2006/relationships/oleObject" Target="embeddings/Hoja_de_c_lculo_de_Microsoft_Office_Excel_97-200313.xls"/><Relationship Id="rId177" Type="http://schemas.openxmlformats.org/officeDocument/2006/relationships/footer" Target="footer31.xml"/><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60.wmf"/><Relationship Id="rId180" Type="http://schemas.openxmlformats.org/officeDocument/2006/relationships/image" Target="media/image65.e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image" Target="media/image10.emf"/><Relationship Id="rId109" Type="http://schemas.openxmlformats.org/officeDocument/2006/relationships/header" Target="header16.xml"/><Relationship Id="rId34" Type="http://schemas.openxmlformats.org/officeDocument/2006/relationships/header" Target="header7.xml"/><Relationship Id="rId50" Type="http://schemas.openxmlformats.org/officeDocument/2006/relationships/oleObject" Target="embeddings/Hoja_de_c_lculo_de_Microsoft_Office_Excel_97-20037.xls"/><Relationship Id="rId55" Type="http://schemas.openxmlformats.org/officeDocument/2006/relationships/header" Target="header9.xml"/><Relationship Id="rId76" Type="http://schemas.openxmlformats.org/officeDocument/2006/relationships/footer" Target="footer13.xml"/><Relationship Id="rId97" Type="http://schemas.openxmlformats.org/officeDocument/2006/relationships/image" Target="media/image30.emf"/><Relationship Id="rId104" Type="http://schemas.openxmlformats.org/officeDocument/2006/relationships/package" Target="embeddings/Hoja_de_c_lculo_de_Microsoft_Office_Excel20.xlsx"/><Relationship Id="rId120" Type="http://schemas.openxmlformats.org/officeDocument/2006/relationships/image" Target="media/image39.emf"/><Relationship Id="rId125" Type="http://schemas.openxmlformats.org/officeDocument/2006/relationships/header" Target="header20.xml"/><Relationship Id="rId141" Type="http://schemas.openxmlformats.org/officeDocument/2006/relationships/image" Target="media/image44.emf"/><Relationship Id="rId146" Type="http://schemas.openxmlformats.org/officeDocument/2006/relationships/oleObject" Target="embeddings/Hoja_de_c_lculo_de_Microsoft_Office_Excel_97-200312.xls"/><Relationship Id="rId167" Type="http://schemas.openxmlformats.org/officeDocument/2006/relationships/image" Target="media/image55.wmf"/><Relationship Id="rId7" Type="http://schemas.openxmlformats.org/officeDocument/2006/relationships/endnotes" Target="endnotes.xml"/><Relationship Id="rId71" Type="http://schemas.openxmlformats.org/officeDocument/2006/relationships/header" Target="header11.xml"/><Relationship Id="rId92" Type="http://schemas.openxmlformats.org/officeDocument/2006/relationships/package" Target="embeddings/Hoja_de_c_lculo_de_Microsoft_Office_Excel14.xlsx"/><Relationship Id="rId162" Type="http://schemas.openxmlformats.org/officeDocument/2006/relationships/header" Target="header29.xml"/><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footer" Target="footer6.xml"/><Relationship Id="rId24" Type="http://schemas.openxmlformats.org/officeDocument/2006/relationships/image" Target="media/image5.wmf"/><Relationship Id="rId40" Type="http://schemas.openxmlformats.org/officeDocument/2006/relationships/package" Target="embeddings/Hoja_de_c_lculo_de_Microsoft_Office_Excel4.xlsx"/><Relationship Id="rId45" Type="http://schemas.openxmlformats.org/officeDocument/2006/relationships/image" Target="media/image13.emf"/><Relationship Id="rId66" Type="http://schemas.openxmlformats.org/officeDocument/2006/relationships/package" Target="embeddings/Hoja_de_c_lculo_de_Microsoft_Office_Excel9.xlsx"/><Relationship Id="rId87" Type="http://schemas.openxmlformats.org/officeDocument/2006/relationships/footer" Target="footer17.xml"/><Relationship Id="rId110" Type="http://schemas.openxmlformats.org/officeDocument/2006/relationships/footer" Target="footer19.xml"/><Relationship Id="rId115" Type="http://schemas.openxmlformats.org/officeDocument/2006/relationships/image" Target="media/image38.emf"/><Relationship Id="rId131" Type="http://schemas.openxmlformats.org/officeDocument/2006/relationships/header" Target="header23.xml"/><Relationship Id="rId136" Type="http://schemas.openxmlformats.org/officeDocument/2006/relationships/package" Target="embeddings/Hoja_de_c_lculo_de_Microsoft_Office_Excel28.xlsx"/><Relationship Id="rId157" Type="http://schemas.openxmlformats.org/officeDocument/2006/relationships/header" Target="header28.xml"/><Relationship Id="rId178" Type="http://schemas.openxmlformats.org/officeDocument/2006/relationships/image" Target="media/image64.wmf"/><Relationship Id="rId61" Type="http://schemas.openxmlformats.org/officeDocument/2006/relationships/header" Target="header10.xml"/><Relationship Id="rId82" Type="http://schemas.openxmlformats.org/officeDocument/2006/relationships/image" Target="media/image24.emf"/><Relationship Id="rId152" Type="http://schemas.openxmlformats.org/officeDocument/2006/relationships/footer" Target="footer28.xml"/><Relationship Id="rId173" Type="http://schemas.openxmlformats.org/officeDocument/2006/relationships/image" Target="media/image61.wmf"/><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header" Target="header6.xml"/><Relationship Id="rId35" Type="http://schemas.openxmlformats.org/officeDocument/2006/relationships/footer" Target="footer8.xml"/><Relationship Id="rId56" Type="http://schemas.openxmlformats.org/officeDocument/2006/relationships/footer" Target="footer10.xml"/><Relationship Id="rId77" Type="http://schemas.openxmlformats.org/officeDocument/2006/relationships/header" Target="header13.xml"/><Relationship Id="rId100" Type="http://schemas.openxmlformats.org/officeDocument/2006/relationships/package" Target="embeddings/Hoja_de_c_lculo_de_Microsoft_Office_Excel18.xlsx"/><Relationship Id="rId105" Type="http://schemas.openxmlformats.org/officeDocument/2006/relationships/image" Target="media/image34.emf"/><Relationship Id="rId126" Type="http://schemas.openxmlformats.org/officeDocument/2006/relationships/footer" Target="footer21.xml"/><Relationship Id="rId147" Type="http://schemas.openxmlformats.org/officeDocument/2006/relationships/header" Target="header25.xml"/><Relationship Id="rId168" Type="http://schemas.openxmlformats.org/officeDocument/2006/relationships/image" Target="media/image56.wmf"/><Relationship Id="rId8" Type="http://schemas.openxmlformats.org/officeDocument/2006/relationships/image" Target="media/image1.png"/><Relationship Id="rId51" Type="http://schemas.openxmlformats.org/officeDocument/2006/relationships/header" Target="header8.xml"/><Relationship Id="rId72" Type="http://schemas.openxmlformats.org/officeDocument/2006/relationships/footer" Target="footer12.xml"/><Relationship Id="rId93" Type="http://schemas.openxmlformats.org/officeDocument/2006/relationships/image" Target="media/image28.emf"/><Relationship Id="rId98" Type="http://schemas.openxmlformats.org/officeDocument/2006/relationships/package" Target="embeddings/Hoja_de_c_lculo_de_Microsoft_Office_Excel17.xlsx"/><Relationship Id="rId121" Type="http://schemas.openxmlformats.org/officeDocument/2006/relationships/package" Target="embeddings/Hoja_de_c_lculo_de_Microsoft_Office_Excel26.xlsx"/><Relationship Id="rId142" Type="http://schemas.openxmlformats.org/officeDocument/2006/relationships/package" Target="embeddings/Hoja_de_c_lculo_de_Microsoft_Office_Excel31.xlsx"/><Relationship Id="rId163" Type="http://schemas.openxmlformats.org/officeDocument/2006/relationships/footer" Target="footer30.xml"/><Relationship Id="rId184" Type="http://schemas.openxmlformats.org/officeDocument/2006/relationships/glossaryDocument" Target="glossary/document.xml"/><Relationship Id="rId3" Type="http://schemas.openxmlformats.org/officeDocument/2006/relationships/styles" Target="styles.xml"/><Relationship Id="rId25" Type="http://schemas.openxmlformats.org/officeDocument/2006/relationships/oleObject" Target="embeddings/Hoja_de_c_lculo_de_Microsoft_Office_Excel_97-20032.xls"/><Relationship Id="rId46" Type="http://schemas.openxmlformats.org/officeDocument/2006/relationships/oleObject" Target="embeddings/Hoja_de_c_lculo_de_Microsoft_Office_Excel_97-20035.xls"/><Relationship Id="rId67" Type="http://schemas.openxmlformats.org/officeDocument/2006/relationships/image" Target="media/image21.emf"/><Relationship Id="rId116" Type="http://schemas.openxmlformats.org/officeDocument/2006/relationships/package" Target="embeddings/Hoja_de_c_lculo_de_Microsoft_Office_Excel25.xlsx"/><Relationship Id="rId137" Type="http://schemas.openxmlformats.org/officeDocument/2006/relationships/image" Target="media/image42.emf"/><Relationship Id="rId158" Type="http://schemas.openxmlformats.org/officeDocument/2006/relationships/footer" Target="footer29.xml"/><Relationship Id="rId20" Type="http://schemas.openxmlformats.org/officeDocument/2006/relationships/header" Target="header3.xml"/><Relationship Id="rId41" Type="http://schemas.openxmlformats.org/officeDocument/2006/relationships/image" Target="media/image11.emf"/><Relationship Id="rId62" Type="http://schemas.openxmlformats.org/officeDocument/2006/relationships/footer" Target="footer11.xml"/><Relationship Id="rId83" Type="http://schemas.openxmlformats.org/officeDocument/2006/relationships/oleObject" Target="embeddings/Hoja_de_c_lculo_de_Microsoft_Office_Excel_97-200310.xls"/><Relationship Id="rId88" Type="http://schemas.openxmlformats.org/officeDocument/2006/relationships/footer" Target="footer18.xml"/><Relationship Id="rId111" Type="http://schemas.openxmlformats.org/officeDocument/2006/relationships/image" Target="media/image36.emf"/><Relationship Id="rId132" Type="http://schemas.openxmlformats.org/officeDocument/2006/relationships/footer" Target="footer24.xml"/><Relationship Id="rId153" Type="http://schemas.openxmlformats.org/officeDocument/2006/relationships/image" Target="media/image47.emf"/><Relationship Id="rId174" Type="http://schemas.openxmlformats.org/officeDocument/2006/relationships/image" Target="media/image62.wmf"/><Relationship Id="rId179" Type="http://schemas.openxmlformats.org/officeDocument/2006/relationships/oleObject" Target="embeddings/oleObject1.bin"/><Relationship Id="rId15" Type="http://schemas.openxmlformats.org/officeDocument/2006/relationships/oleObject" Target="embeddings/Hoja_de_c_lculo_de_Microsoft_Office_Excel_97-20031.xls"/><Relationship Id="rId36" Type="http://schemas.openxmlformats.org/officeDocument/2006/relationships/image" Target="media/image8.png"/><Relationship Id="rId57" Type="http://schemas.openxmlformats.org/officeDocument/2006/relationships/image" Target="media/image17.emf"/><Relationship Id="rId106" Type="http://schemas.openxmlformats.org/officeDocument/2006/relationships/package" Target="embeddings/Hoja_de_c_lculo_de_Microsoft_Office_Excel21.xlsx"/><Relationship Id="rId127" Type="http://schemas.openxmlformats.org/officeDocument/2006/relationships/header" Target="header21.xml"/><Relationship Id="rId10" Type="http://schemas.openxmlformats.org/officeDocument/2006/relationships/footer" Target="footer1.xml"/><Relationship Id="rId31" Type="http://schemas.openxmlformats.org/officeDocument/2006/relationships/footer" Target="footer7.xml"/><Relationship Id="rId52" Type="http://schemas.openxmlformats.org/officeDocument/2006/relationships/footer" Target="footer9.xml"/><Relationship Id="rId73" Type="http://schemas.openxmlformats.org/officeDocument/2006/relationships/image" Target="media/image23.emf"/><Relationship Id="rId78" Type="http://schemas.openxmlformats.org/officeDocument/2006/relationships/footer" Target="footer14.xml"/><Relationship Id="rId94" Type="http://schemas.openxmlformats.org/officeDocument/2006/relationships/package" Target="embeddings/Hoja_de_c_lculo_de_Microsoft_Office_Excel15.xlsx"/><Relationship Id="rId99" Type="http://schemas.openxmlformats.org/officeDocument/2006/relationships/image" Target="media/image31.emf"/><Relationship Id="rId101" Type="http://schemas.openxmlformats.org/officeDocument/2006/relationships/image" Target="media/image32.emf"/><Relationship Id="rId122" Type="http://schemas.openxmlformats.org/officeDocument/2006/relationships/image" Target="media/image40.emf"/><Relationship Id="rId143" Type="http://schemas.openxmlformats.org/officeDocument/2006/relationships/image" Target="media/image45.emf"/><Relationship Id="rId148" Type="http://schemas.openxmlformats.org/officeDocument/2006/relationships/footer" Target="footer26.xml"/><Relationship Id="rId164" Type="http://schemas.openxmlformats.org/officeDocument/2006/relationships/image" Target="media/image52.wmf"/><Relationship Id="rId169" Type="http://schemas.openxmlformats.org/officeDocument/2006/relationships/image" Target="media/image57.wmf"/><Relationship Id="rId18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F64557"/>
    <w:rsid w:val="00F64557"/>
    <w:rsid w:val="00F962A8"/>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F110B0055F78471D9EB00F2122C64509">
    <w:name w:val="F110B0055F78471D9EB00F2122C64509"/>
    <w:rsid w:val="00F6455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EC6DF9-3266-442C-94BD-5B7CADEC0E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513</TotalTime>
  <Pages>48</Pages>
  <Words>4702</Words>
  <Characters>25862</Characters>
  <Application>Microsoft Office Word</Application>
  <DocSecurity>0</DocSecurity>
  <Lines>215</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155</cp:revision>
  <cp:lastPrinted>2013-02-22T23:26:00Z</cp:lastPrinted>
  <dcterms:created xsi:type="dcterms:W3CDTF">2013-01-17T16:56:00Z</dcterms:created>
  <dcterms:modified xsi:type="dcterms:W3CDTF">2013-02-22T23:31:00Z</dcterms:modified>
</cp:coreProperties>
</file>